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9">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BA6B3A">
        <w:trPr>
          <w:cantSplit/>
        </w:trPr>
        <w:tc>
          <w:tcPr>
            <w:tcW w:w="10456" w:type="dxa"/>
            <w:shd w:val="clear" w:color="auto" w:fill="FDE9D9" w:themeFill="accent6" w:themeFillTint="33"/>
          </w:tcPr>
          <w:p w14:paraId="0C20702A" w14:textId="77777777" w:rsidR="007F082A" w:rsidRPr="007D38BD" w:rsidRDefault="007F082A" w:rsidP="00BA6B3A">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BA6B3A">
        <w:trPr>
          <w:cantSplit/>
        </w:trPr>
        <w:tc>
          <w:tcPr>
            <w:tcW w:w="10456" w:type="dxa"/>
            <w:shd w:val="clear" w:color="auto" w:fill="FDE9D9" w:themeFill="accent6" w:themeFillTint="33"/>
          </w:tcPr>
          <w:p w14:paraId="4E608C23" w14:textId="77777777" w:rsidR="007F082A" w:rsidRDefault="007F082A" w:rsidP="00BA6B3A">
            <w:pPr>
              <w:pStyle w:val="ListParagraph"/>
              <w:numPr>
                <w:ilvl w:val="0"/>
                <w:numId w:val="22"/>
              </w:numPr>
              <w:spacing w:line="300" w:lineRule="atLeast"/>
              <w:rPr>
                <w:rFonts w:ascii="Candara" w:hAnsi="Candara"/>
                <w:b/>
              </w:rPr>
            </w:pPr>
            <w:r>
              <w:rPr>
                <w:rFonts w:ascii="Candara" w:hAnsi="Candara"/>
                <w:b/>
              </w:rPr>
              <w:t>This completed NARRATIVE REPORT Template</w:t>
            </w:r>
            <w:bookmarkStart w:id="0" w:name="_GoBack"/>
            <w:bookmarkEnd w:id="0"/>
          </w:p>
          <w:p w14:paraId="68ECF0CE" w14:textId="77777777" w:rsidR="007F082A" w:rsidRPr="00AC4A62" w:rsidRDefault="007F082A" w:rsidP="00BA6B3A">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BA6B3A">
        <w:trPr>
          <w:cantSplit/>
        </w:trPr>
        <w:tc>
          <w:tcPr>
            <w:tcW w:w="10456" w:type="dxa"/>
            <w:shd w:val="clear" w:color="auto" w:fill="FDE9D9" w:themeFill="accent6" w:themeFillTint="33"/>
          </w:tcPr>
          <w:p w14:paraId="5A9EB7D5" w14:textId="7BD0526A" w:rsidR="007F082A" w:rsidRDefault="007F082A" w:rsidP="00BA6B3A">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BA6B3A">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BA6B3A">
        <w:trPr>
          <w:cantSplit/>
        </w:trPr>
        <w:tc>
          <w:tcPr>
            <w:tcW w:w="10456" w:type="dxa"/>
            <w:shd w:val="clear" w:color="auto" w:fill="FDE9D9" w:themeFill="accent6" w:themeFillTint="33"/>
            <w:vAlign w:val="bottom"/>
          </w:tcPr>
          <w:p w14:paraId="26DD9325" w14:textId="77777777" w:rsidR="007F082A" w:rsidRPr="00446218" w:rsidRDefault="007F082A" w:rsidP="00BA6B3A">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BA6B3A">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BA6B3A">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37FFF79C" w:rsidR="002B14AE" w:rsidRPr="002B14AE" w:rsidRDefault="00CD33C0" w:rsidP="007F6DFB">
            <w:pPr>
              <w:spacing w:line="300" w:lineRule="atLeast"/>
              <w:rPr>
                <w:rFonts w:ascii="Candara" w:hAnsi="Candara"/>
              </w:rPr>
            </w:pPr>
            <w:r>
              <w:rPr>
                <w:rFonts w:ascii="Candara" w:hAnsi="Candara"/>
              </w:rPr>
              <w:t>Hull 2017</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7B1D452C" w:rsidR="002B14AE" w:rsidRPr="002B14AE" w:rsidRDefault="00CD33C0" w:rsidP="007F6DFB">
            <w:pPr>
              <w:spacing w:line="300" w:lineRule="atLeast"/>
              <w:rPr>
                <w:rFonts w:ascii="Candara" w:hAnsi="Candara"/>
              </w:rPr>
            </w:pPr>
            <w:r>
              <w:rPr>
                <w:rFonts w:ascii="Candara" w:hAnsi="Candara"/>
              </w:rPr>
              <w:t>Women of the World Festival 2017</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39B3E6ED" w14:textId="635EF3D4" w:rsidR="007A0FB6" w:rsidRDefault="002F0527" w:rsidP="002F0527">
            <w:pPr>
              <w:pStyle w:val="NormalWeb"/>
              <w:shd w:val="clear" w:color="auto" w:fill="FFFFFF"/>
              <w:spacing w:before="0" w:beforeAutospacing="0" w:after="300" w:afterAutospacing="0" w:line="330" w:lineRule="atLeast"/>
              <w:textAlignment w:val="baseline"/>
              <w:rPr>
                <w:rFonts w:ascii="BreeSerifLt" w:hAnsi="BreeSerifLt"/>
                <w:color w:val="191919"/>
                <w:sz w:val="23"/>
                <w:szCs w:val="23"/>
              </w:rPr>
            </w:pPr>
            <w:r>
              <w:rPr>
                <w:rFonts w:ascii="BreeSerifLt" w:hAnsi="BreeSerifLt"/>
                <w:color w:val="191919"/>
                <w:sz w:val="23"/>
                <w:szCs w:val="23"/>
              </w:rPr>
              <w:t>WOW wa</w:t>
            </w:r>
            <w:r>
              <w:rPr>
                <w:rFonts w:ascii="BreeSerifLt" w:hAnsi="BreeSerifLt"/>
                <w:color w:val="191919"/>
                <w:sz w:val="23"/>
                <w:szCs w:val="23"/>
              </w:rPr>
              <w:t>s a festival of talks, debates, music, film, comedy and activism that cel</w:t>
            </w:r>
            <w:r>
              <w:rPr>
                <w:rFonts w:ascii="BreeSerifLt" w:hAnsi="BreeSerifLt"/>
                <w:color w:val="191919"/>
                <w:sz w:val="23"/>
                <w:szCs w:val="23"/>
              </w:rPr>
              <w:t>ebrates women and girls and took</w:t>
            </w:r>
            <w:r>
              <w:rPr>
                <w:rFonts w:ascii="BreeSerifLt" w:hAnsi="BreeSerifLt"/>
                <w:color w:val="191919"/>
                <w:sz w:val="23"/>
                <w:szCs w:val="23"/>
              </w:rPr>
              <w:t xml:space="preserve"> a frank look at what stops them from achieving their potential. Based on the premise that an equal world is a b</w:t>
            </w:r>
            <w:r>
              <w:rPr>
                <w:rFonts w:ascii="BreeSerifLt" w:hAnsi="BreeSerifLt"/>
                <w:color w:val="191919"/>
                <w:sz w:val="23"/>
                <w:szCs w:val="23"/>
              </w:rPr>
              <w:t>etter world for all of us, WOW wa</w:t>
            </w:r>
            <w:r>
              <w:rPr>
                <w:rFonts w:ascii="BreeSerifLt" w:hAnsi="BreeSerifLt"/>
                <w:color w:val="191919"/>
                <w:sz w:val="23"/>
                <w:szCs w:val="23"/>
              </w:rPr>
              <w:t>s a celebration not only of women and girls but of equality in all its forms.</w:t>
            </w:r>
            <w:r>
              <w:rPr>
                <w:rFonts w:ascii="BreeSerifLt" w:hAnsi="BreeSerifLt"/>
                <w:color w:val="191919"/>
                <w:sz w:val="23"/>
                <w:szCs w:val="23"/>
              </w:rPr>
              <w:t xml:space="preserve"> </w:t>
            </w:r>
            <w:r>
              <w:rPr>
                <w:rFonts w:ascii="BreeSerifLt" w:hAnsi="BreeSerifLt"/>
                <w:color w:val="191919"/>
                <w:sz w:val="23"/>
                <w:szCs w:val="23"/>
              </w:rPr>
              <w:t>Since WOW was founded in 2010 at Southbank Centre, London, it has become a rapidly expanding global movement with festivals taking place on five continents from Pakistan to Finland, a</w:t>
            </w:r>
            <w:r>
              <w:rPr>
                <w:rFonts w:ascii="BreeSerifLt" w:hAnsi="BreeSerifLt"/>
                <w:color w:val="191919"/>
                <w:sz w:val="23"/>
                <w:szCs w:val="23"/>
              </w:rPr>
              <w:t xml:space="preserve">nd New York to Sydney. </w:t>
            </w:r>
          </w:p>
          <w:p w14:paraId="7BEB14E2" w14:textId="7C4B94D9" w:rsidR="007A0FB6" w:rsidRPr="002F0527" w:rsidRDefault="002F0527" w:rsidP="002F0527">
            <w:pPr>
              <w:pStyle w:val="NormalWeb"/>
              <w:shd w:val="clear" w:color="auto" w:fill="FFFFFF"/>
              <w:spacing w:before="0" w:beforeAutospacing="0" w:after="300" w:afterAutospacing="0" w:line="330" w:lineRule="atLeast"/>
              <w:textAlignment w:val="baseline"/>
              <w:rPr>
                <w:rFonts w:ascii="Candara" w:hAnsi="Candara"/>
              </w:rPr>
            </w:pPr>
            <w:r>
              <w:rPr>
                <w:rFonts w:ascii="BreeSerifLt" w:hAnsi="BreeSerifLt"/>
                <w:color w:val="191919"/>
                <w:sz w:val="23"/>
                <w:szCs w:val="23"/>
              </w:rPr>
              <w:t xml:space="preserve">Within the Hull festival, we programmed 8 features and shorts screening including 6 titles. The event closed with a special screening of Viceroy’s House which was </w:t>
            </w:r>
            <w:r w:rsidRPr="002F0527">
              <w:rPr>
                <w:rFonts w:ascii="BreeSerifLt" w:hAnsi="BreeSerifLt"/>
                <w:color w:val="191919"/>
                <w:sz w:val="23"/>
                <w:szCs w:val="23"/>
              </w:rPr>
              <w:t>f</w:t>
            </w:r>
            <w:r w:rsidRPr="002F0527">
              <w:rPr>
                <w:rFonts w:ascii="BreeSerifLt" w:hAnsi="BreeSerifLt"/>
                <w:color w:val="191919"/>
                <w:sz w:val="23"/>
                <w:szCs w:val="23"/>
              </w:rPr>
              <w:t>ollowed by a Q&amp;A with Director, </w:t>
            </w:r>
            <w:proofErr w:type="spellStart"/>
            <w:r w:rsidRPr="002F0527">
              <w:rPr>
                <w:bCs/>
              </w:rPr>
              <w:t>Gurinder</w:t>
            </w:r>
            <w:proofErr w:type="spellEnd"/>
            <w:r w:rsidRPr="002F0527">
              <w:rPr>
                <w:bCs/>
              </w:rPr>
              <w:t xml:space="preserve"> Chadha </w:t>
            </w:r>
            <w:r w:rsidRPr="002F0527">
              <w:rPr>
                <w:rFonts w:ascii="BreeSerifLt" w:hAnsi="BreeSerifLt"/>
                <w:color w:val="191919"/>
                <w:sz w:val="23"/>
                <w:szCs w:val="23"/>
              </w:rPr>
              <w:t>and </w:t>
            </w:r>
            <w:r w:rsidRPr="002F0527">
              <w:rPr>
                <w:bCs/>
              </w:rPr>
              <w:t xml:space="preserve">Amanda </w:t>
            </w:r>
            <w:proofErr w:type="spellStart"/>
            <w:r w:rsidRPr="002F0527">
              <w:rPr>
                <w:bCs/>
              </w:rPr>
              <w:t>Nevill</w:t>
            </w:r>
            <w:proofErr w:type="spellEnd"/>
            <w:r w:rsidRPr="002F0527">
              <w:rPr>
                <w:rFonts w:ascii="BreeSerifLt" w:hAnsi="BreeSerifLt"/>
                <w:color w:val="191919"/>
                <w:sz w:val="23"/>
                <w:szCs w:val="23"/>
              </w:rPr>
              <w:t> CBE, CEO of the British Film Institute (BFI).</w:t>
            </w:r>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101BA2C2" w14:textId="21466B28" w:rsidR="00BB4566" w:rsidRDefault="002F0527" w:rsidP="002F0527">
            <w:pPr>
              <w:pStyle w:val="BodyText2"/>
              <w:spacing w:after="0" w:line="300" w:lineRule="atLeast"/>
              <w:rPr>
                <w:rFonts w:ascii="Candara" w:hAnsi="Candara"/>
              </w:rPr>
            </w:pPr>
            <w:r>
              <w:rPr>
                <w:rFonts w:ascii="Candara" w:hAnsi="Candara"/>
              </w:rPr>
              <w:lastRenderedPageBreak/>
              <w:t xml:space="preserve">The project met the KPIs in terms of number screenings and exceeded planned activity in terms of number of titles delivered. The audience demographics came from a sample of only 31 respondents, and thus it is difficult to say whether these accurately reflect </w:t>
            </w:r>
            <w:proofErr w:type="gramStart"/>
            <w:r>
              <w:rPr>
                <w:rFonts w:ascii="Candara" w:hAnsi="Candara"/>
              </w:rPr>
              <w:t>audiences as a whole</w:t>
            </w:r>
            <w:proofErr w:type="gramEnd"/>
            <w:r>
              <w:rPr>
                <w:rFonts w:ascii="Candara" w:hAnsi="Candara"/>
              </w:rPr>
              <w:t>. Attendance at individual showings varied across the programme with some being extremely well attended (Viceroy’s House and Funny Girls Shorts) and others appealing to a smaller audience (</w:t>
            </w:r>
            <w:proofErr w:type="spellStart"/>
            <w:r>
              <w:rPr>
                <w:rFonts w:ascii="Candara" w:hAnsi="Candara"/>
              </w:rPr>
              <w:t>Matkay</w:t>
            </w:r>
            <w:proofErr w:type="spellEnd"/>
            <w:r>
              <w:rPr>
                <w:rFonts w:ascii="Candara" w:hAnsi="Candara"/>
              </w:rPr>
              <w:t xml:space="preserve"> Pay </w:t>
            </w:r>
            <w:proofErr w:type="spellStart"/>
            <w:r>
              <w:rPr>
                <w:rFonts w:ascii="Candara" w:hAnsi="Candara"/>
              </w:rPr>
              <w:t>Thappa</w:t>
            </w:r>
            <w:proofErr w:type="spellEnd"/>
            <w:r>
              <w:rPr>
                <w:rFonts w:ascii="Candara" w:hAnsi="Candara"/>
              </w:rPr>
              <w:t xml:space="preserve">). Conflicts within the festival programme, with a lot of activities taking place at the same time across </w:t>
            </w:r>
            <w:proofErr w:type="gramStart"/>
            <w:r>
              <w:rPr>
                <w:rFonts w:ascii="Candara" w:hAnsi="Candara"/>
              </w:rPr>
              <w:t>a number of</w:t>
            </w:r>
            <w:proofErr w:type="gramEnd"/>
            <w:r>
              <w:rPr>
                <w:rFonts w:ascii="Candara" w:hAnsi="Candara"/>
              </w:rPr>
              <w:t xml:space="preserve"> venues may have also contributed to some of the lower attendance figures. </w:t>
            </w:r>
            <w:r w:rsidR="004E1F51" w:rsidRPr="005E1FA9">
              <w:rPr>
                <w:rFonts w:ascii="Candara" w:hAnsi="Candara"/>
              </w:rPr>
              <w:t xml:space="preserve"> </w:t>
            </w: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10EFEB06" w14:textId="3C8FC25C" w:rsidR="00434A86" w:rsidRPr="002B14AE" w:rsidRDefault="005459D3" w:rsidP="005459D3">
            <w:pPr>
              <w:spacing w:line="300" w:lineRule="atLeast"/>
              <w:rPr>
                <w:rFonts w:ascii="Candara" w:hAnsi="Candara"/>
                <w:b/>
              </w:rPr>
            </w:pPr>
            <w:r>
              <w:rPr>
                <w:rFonts w:ascii="Candara" w:hAnsi="Candara"/>
              </w:rPr>
              <w:t xml:space="preserve">The festival </w:t>
            </w:r>
            <w:proofErr w:type="gramStart"/>
            <w:r>
              <w:rPr>
                <w:rFonts w:ascii="Candara" w:hAnsi="Candara"/>
              </w:rPr>
              <w:t>as a whole used</w:t>
            </w:r>
            <w:proofErr w:type="gramEnd"/>
            <w:r>
              <w:rPr>
                <w:rFonts w:ascii="Candara" w:hAnsi="Candara"/>
              </w:rPr>
              <w:t xml:space="preserve"> both marketing and PR activities to raise the profile of the festival and to market individual screenings. A print programme for the festival was produced and the screenings highlighted most significantly within this were well attended. </w:t>
            </w:r>
            <w:r>
              <w:rPr>
                <w:rFonts w:ascii="Candara" w:hAnsi="Candara"/>
              </w:rPr>
              <w:t xml:space="preserve">Conflicts within the festival programme, with a lot of activities taking place at the same time across </w:t>
            </w:r>
            <w:proofErr w:type="gramStart"/>
            <w:r>
              <w:rPr>
                <w:rFonts w:ascii="Candara" w:hAnsi="Candara"/>
              </w:rPr>
              <w:t>a number of</w:t>
            </w:r>
            <w:proofErr w:type="gramEnd"/>
            <w:r>
              <w:rPr>
                <w:rFonts w:ascii="Candara" w:hAnsi="Candara"/>
              </w:rPr>
              <w:t xml:space="preserve"> venues may have also contributed to some of the lower attendance figures. </w:t>
            </w:r>
            <w:r w:rsidRPr="005E1FA9">
              <w:rPr>
                <w:rFonts w:ascii="Candara" w:hAnsi="Candara"/>
              </w:rPr>
              <w:t xml:space="preserve"> </w:t>
            </w: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6DB7B5F2" w14:textId="45870CA8" w:rsidR="00712AF1" w:rsidRDefault="005459D3" w:rsidP="00712AF1">
            <w:pPr>
              <w:spacing w:line="300" w:lineRule="atLeast"/>
              <w:rPr>
                <w:rFonts w:ascii="Candara" w:hAnsi="Candara"/>
                <w:b/>
              </w:rPr>
            </w:pPr>
            <w:r>
              <w:rPr>
                <w:rFonts w:ascii="Candara" w:hAnsi="Candara"/>
              </w:rPr>
              <w:t xml:space="preserve">The venues used were assessed for their physical accessibility and other parts of the Women of the World Festival programme included BSL interpretation and captioning. The programme of the festival and the film programme sought to bring together diverse and international experiences throughout to provoke discussion and debate. </w:t>
            </w:r>
          </w:p>
        </w:tc>
      </w:tr>
      <w:tr w:rsidR="00191D26" w:rsidRPr="002B14AE" w14:paraId="5AD9F498" w14:textId="77777777">
        <w:trPr>
          <w:trHeight w:val="410"/>
        </w:trPr>
        <w:tc>
          <w:tcPr>
            <w:tcW w:w="10456" w:type="dxa"/>
            <w:shd w:val="clear" w:color="auto" w:fill="E5DFEC" w:themeFill="accent4" w:themeFillTint="33"/>
          </w:tcPr>
          <w:p w14:paraId="4C28F8B4" w14:textId="77777777"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you intended to?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400BEA2E" w14:textId="52DF469C" w:rsidR="00712AF1" w:rsidRDefault="005459D3" w:rsidP="005459D3">
            <w:pPr>
              <w:pStyle w:val="BodyText2"/>
              <w:spacing w:after="0" w:line="300" w:lineRule="atLeast"/>
              <w:rPr>
                <w:rFonts w:ascii="Candara" w:hAnsi="Candara"/>
              </w:rPr>
            </w:pPr>
            <w:r>
              <w:rPr>
                <w:rFonts w:ascii="Candara" w:hAnsi="Candara"/>
              </w:rPr>
              <w:t xml:space="preserve">Within the Women of the World Festival project we engaged with a ‘Circle of Friends’ made up of representatives from local women’s and community organisations. This created a buy in to the festival from these organisations, many of whom acted as panellists and promoted the festival and its screenings to their members and service users. </w:t>
            </w: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4787A7C0" w14:textId="16E606F0" w:rsidR="00712AF1" w:rsidRDefault="005459D3" w:rsidP="00712AF1">
            <w:pPr>
              <w:rPr>
                <w:rFonts w:ascii="Candara" w:hAnsi="Candara"/>
                <w:b/>
              </w:rPr>
            </w:pPr>
            <w:hyperlink r:id="rId10" w:history="1">
              <w:r w:rsidRPr="008B5CB9">
                <w:rPr>
                  <w:rStyle w:val="Hyperlink"/>
                  <w:rFonts w:ascii="Candara" w:hAnsi="Candara"/>
                </w:rPr>
                <w:t>http://www.broadwayworld.com/westend/article/Details-of-First-Ever-WOW--WOMEN-OF-THE-WORLD-HULL-Announced-for-UK-City-of-Culture-20170210</w:t>
              </w:r>
            </w:hyperlink>
          </w:p>
          <w:p w14:paraId="40D81E27" w14:textId="02969E68" w:rsidR="005459D3" w:rsidRDefault="005459D3" w:rsidP="00712AF1">
            <w:pPr>
              <w:rPr>
                <w:rFonts w:ascii="Candara" w:hAnsi="Candara"/>
                <w:b/>
              </w:rPr>
            </w:pPr>
            <w:hyperlink r:id="rId11" w:history="1">
              <w:r w:rsidRPr="008B5CB9">
                <w:rPr>
                  <w:rStyle w:val="Hyperlink"/>
                  <w:rFonts w:ascii="Candara" w:hAnsi="Candara"/>
                </w:rPr>
                <w:t>http://www.whatsonstage.com/london-theatre/news/southbank-centre-launches-women-of-the-world-festival_43070.html</w:t>
              </w:r>
            </w:hyperlink>
          </w:p>
          <w:p w14:paraId="624E98A7" w14:textId="1D414CCD" w:rsidR="005459D3" w:rsidRDefault="005459D3" w:rsidP="00712AF1">
            <w:pPr>
              <w:rPr>
                <w:rFonts w:ascii="Candara" w:hAnsi="Candara"/>
                <w:b/>
              </w:rPr>
            </w:pPr>
            <w:hyperlink r:id="rId12" w:history="1">
              <w:r w:rsidRPr="008B5CB9">
                <w:rPr>
                  <w:rStyle w:val="Hyperlink"/>
                  <w:rFonts w:ascii="Candara" w:hAnsi="Candara"/>
                </w:rPr>
                <w:t>http://www.hulldailymail.co.uk/top-10-made-in-hull-city-of-culture-events-still-to-see/story-30180938-detail/story.html</w:t>
              </w:r>
            </w:hyperlink>
          </w:p>
          <w:p w14:paraId="17B32201" w14:textId="0CF50828" w:rsidR="005459D3" w:rsidRDefault="005459D3" w:rsidP="00712AF1">
            <w:pPr>
              <w:rPr>
                <w:rFonts w:ascii="Candara" w:hAnsi="Candara"/>
                <w:b/>
              </w:rPr>
            </w:pPr>
            <w:hyperlink r:id="rId13" w:history="1">
              <w:r w:rsidRPr="008B5CB9">
                <w:rPr>
                  <w:rStyle w:val="Hyperlink"/>
                  <w:rFonts w:ascii="Candara" w:hAnsi="Candara"/>
                </w:rPr>
                <w:t>http://www.radiotimes.com/news/2017-02-28/made-in-hull-theres-more-to-the-uks-city-of-culture-than-philip-larkin</w:t>
              </w:r>
            </w:hyperlink>
          </w:p>
          <w:p w14:paraId="3E4EB157" w14:textId="7D4CD197" w:rsidR="005459D3" w:rsidRDefault="005459D3" w:rsidP="00712AF1">
            <w:pPr>
              <w:rPr>
                <w:rFonts w:ascii="Candara" w:hAnsi="Candara"/>
                <w:b/>
              </w:rPr>
            </w:pPr>
            <w:hyperlink r:id="rId14" w:history="1">
              <w:r w:rsidRPr="008B5CB9">
                <w:rPr>
                  <w:rStyle w:val="Hyperlink"/>
                  <w:rFonts w:ascii="Candara" w:hAnsi="Candara"/>
                </w:rPr>
                <w:t>http://www.itv.com/news/calendar/2017-02-08/royal-visit-for-uk-city-of-culture/</w:t>
              </w:r>
            </w:hyperlink>
          </w:p>
          <w:p w14:paraId="3D646E3F" w14:textId="3D04D339" w:rsidR="00712AF1" w:rsidRPr="00E26343" w:rsidRDefault="005459D3" w:rsidP="00712AF1">
            <w:pPr>
              <w:rPr>
                <w:rFonts w:ascii="Candara" w:hAnsi="Candara"/>
                <w:b/>
              </w:rPr>
            </w:pPr>
            <w:hyperlink r:id="rId15" w:history="1">
              <w:r w:rsidRPr="008B5CB9">
                <w:rPr>
                  <w:rStyle w:val="Hyperlink"/>
                  <w:rFonts w:ascii="Candara" w:hAnsi="Candara"/>
                </w:rPr>
                <w:t>http://www.thedebrief.co.uk/things-to-do/books/gemma-cairney-book-open-a-toolkit-for-how-magic-and-messy-life-can-be-20170466968</w:t>
              </w:r>
            </w:hyperlink>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1FB53470" w14:textId="69ECAF13" w:rsidR="00835F75" w:rsidRDefault="00C05C26" w:rsidP="00C05C26">
            <w:pPr>
              <w:spacing w:line="300" w:lineRule="atLeast"/>
              <w:rPr>
                <w:rFonts w:ascii="Candara" w:hAnsi="Candara" w:cs="Tahoma"/>
                <w:b/>
                <w:sz w:val="16"/>
                <w:szCs w:val="16"/>
              </w:rPr>
            </w:pPr>
            <w:r>
              <w:rPr>
                <w:rFonts w:ascii="Candara" w:hAnsi="Candara"/>
              </w:rPr>
              <w:t xml:space="preserve">Conversations are still currently ongoing about the legacy of the Women of the World Festival project and the potential for this to run again in future years. </w:t>
            </w: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7CDEC409" w14:textId="6B6ED7BD" w:rsidR="00DB42D0" w:rsidRPr="002E05FF" w:rsidRDefault="00DB42D0" w:rsidP="005459D3">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36F4C13E" w14:textId="77777777" w:rsidR="00C05C26" w:rsidRPr="00C05C26" w:rsidRDefault="00C05C26" w:rsidP="00C05C26">
            <w:pPr>
              <w:spacing w:line="300" w:lineRule="atLeast"/>
              <w:rPr>
                <w:rFonts w:ascii="Candara" w:hAnsi="Candara"/>
              </w:rPr>
            </w:pPr>
            <w:r w:rsidRPr="00C05C26">
              <w:rPr>
                <w:rFonts w:ascii="Candara" w:hAnsi="Candara"/>
              </w:rPr>
              <w:t>The association with the wider Transformative Film Culture for Hull 2017 project enabled us to think about</w:t>
            </w:r>
          </w:p>
          <w:p w14:paraId="66A631A0" w14:textId="77777777" w:rsidR="00C05C26" w:rsidRPr="00C05C26" w:rsidRDefault="00C05C26" w:rsidP="00C05C26">
            <w:pPr>
              <w:spacing w:line="300" w:lineRule="atLeast"/>
              <w:rPr>
                <w:rFonts w:ascii="Candara" w:hAnsi="Candara"/>
              </w:rPr>
            </w:pPr>
            <w:r w:rsidRPr="00C05C26">
              <w:rPr>
                <w:rFonts w:ascii="Candara" w:hAnsi="Candara"/>
              </w:rPr>
              <w:t xml:space="preserve">programming works that fitted within the theme of this specific festival, but also that </w:t>
            </w:r>
            <w:proofErr w:type="gramStart"/>
            <w:r w:rsidRPr="00C05C26">
              <w:rPr>
                <w:rFonts w:ascii="Candara" w:hAnsi="Candara"/>
              </w:rPr>
              <w:t>are able to</w:t>
            </w:r>
            <w:proofErr w:type="gramEnd"/>
            <w:r w:rsidRPr="00C05C26">
              <w:rPr>
                <w:rFonts w:ascii="Candara" w:hAnsi="Candara"/>
              </w:rPr>
              <w:t xml:space="preserve"> contribute</w:t>
            </w:r>
          </w:p>
          <w:p w14:paraId="7E44E127" w14:textId="4641C552" w:rsidR="00BD7AA0" w:rsidRDefault="00C05C26" w:rsidP="00C05C26">
            <w:pPr>
              <w:spacing w:line="300" w:lineRule="atLeast"/>
              <w:rPr>
                <w:rFonts w:ascii="Candara" w:hAnsi="Candara"/>
                <w:b/>
              </w:rPr>
            </w:pPr>
            <w:r w:rsidRPr="00C05C26">
              <w:rPr>
                <w:rFonts w:ascii="Candara" w:hAnsi="Candara"/>
              </w:rPr>
              <w:t>to the ongoing audience development for film in the city.</w:t>
            </w:r>
            <w:r>
              <w:rPr>
                <w:rFonts w:ascii="Candara" w:hAnsi="Candara"/>
              </w:rPr>
              <w:t xml:space="preserve"> The film programme within the festival </w:t>
            </w:r>
            <w:proofErr w:type="gramStart"/>
            <w:r>
              <w:rPr>
                <w:rFonts w:ascii="Candara" w:hAnsi="Candara"/>
              </w:rPr>
              <w:t>was able to</w:t>
            </w:r>
            <w:proofErr w:type="gramEnd"/>
            <w:r>
              <w:rPr>
                <w:rFonts w:ascii="Candara" w:hAnsi="Candara"/>
              </w:rPr>
              <w:t xml:space="preserve"> create an opportunity to screen titles with a focus on women and girls.</w:t>
            </w:r>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6"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7"/>
      <w:headerReference w:type="default" r:id="rId18"/>
      <w:footerReference w:type="even" r:id="rId19"/>
      <w:footerReference w:type="default" r:id="rId20"/>
      <w:headerReference w:type="first" r:id="rId21"/>
      <w:footerReference w:type="first" r:id="rId22"/>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AA99C" w14:textId="77777777" w:rsidR="00BA1862" w:rsidRDefault="00BA1862" w:rsidP="00F40A74">
      <w:pPr>
        <w:spacing w:after="0" w:line="240" w:lineRule="auto"/>
      </w:pPr>
      <w:r>
        <w:separator/>
      </w:r>
    </w:p>
  </w:endnote>
  <w:endnote w:type="continuationSeparator" w:id="0">
    <w:p w14:paraId="0F233C5C" w14:textId="77777777" w:rsidR="00BA1862" w:rsidRDefault="00BA1862"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BreeSerifLt">
    <w:altName w:val="Cambria"/>
    <w:panose1 w:val="00000000000000000000"/>
    <w:charset w:val="00"/>
    <w:family w:val="roman"/>
    <w:notTrueType/>
    <w:pitch w:val="default"/>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1B21AD" w:rsidRDefault="001B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1FC493C5" w:rsidR="001B21AD" w:rsidRPr="009A3401" w:rsidRDefault="001B21A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C05C26" w:rsidRPr="00C05C26">
      <w:rPr>
        <w:rFonts w:ascii="Candara" w:hAnsi="Candara"/>
        <w:b/>
        <w:noProof/>
        <w:color w:val="808080" w:themeColor="background1" w:themeShade="80"/>
        <w:sz w:val="16"/>
        <w:szCs w:val="16"/>
      </w:rPr>
      <w:t>1</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1B21AD" w:rsidRDefault="001B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CDD4" w14:textId="77777777" w:rsidR="00BA1862" w:rsidRDefault="00BA1862" w:rsidP="00F40A74">
      <w:pPr>
        <w:spacing w:after="0" w:line="240" w:lineRule="auto"/>
      </w:pPr>
      <w:r>
        <w:separator/>
      </w:r>
    </w:p>
  </w:footnote>
  <w:footnote w:type="continuationSeparator" w:id="0">
    <w:p w14:paraId="36767DA8" w14:textId="77777777" w:rsidR="00BA1862" w:rsidRDefault="00BA1862"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1B21AD" w:rsidRDefault="001B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1B21AD" w:rsidRDefault="001B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1B21AD" w:rsidRDefault="001B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5E5F"/>
    <w:rsid w:val="002C0840"/>
    <w:rsid w:val="002C43DB"/>
    <w:rsid w:val="002E05FF"/>
    <w:rsid w:val="002E1399"/>
    <w:rsid w:val="002F0527"/>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59D3"/>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215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1862"/>
    <w:rsid w:val="00BA388A"/>
    <w:rsid w:val="00BB049B"/>
    <w:rsid w:val="00BB33F8"/>
    <w:rsid w:val="00BB4566"/>
    <w:rsid w:val="00BB6B6B"/>
    <w:rsid w:val="00BC280F"/>
    <w:rsid w:val="00BD7AA0"/>
    <w:rsid w:val="00BE79C3"/>
    <w:rsid w:val="00BF1420"/>
    <w:rsid w:val="00BF1A92"/>
    <w:rsid w:val="00BF242B"/>
    <w:rsid w:val="00C00469"/>
    <w:rsid w:val="00C04A0D"/>
    <w:rsid w:val="00C05C26"/>
    <w:rsid w:val="00C2713C"/>
    <w:rsid w:val="00C27142"/>
    <w:rsid w:val="00C449D0"/>
    <w:rsid w:val="00C5018E"/>
    <w:rsid w:val="00C53B82"/>
    <w:rsid w:val="00C713BF"/>
    <w:rsid w:val="00C875FF"/>
    <w:rsid w:val="00C9694A"/>
    <w:rsid w:val="00CA506E"/>
    <w:rsid w:val="00CC0DD1"/>
    <w:rsid w:val="00CD1289"/>
    <w:rsid w:val="00CD33C0"/>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9EDE56"/>
  <w15:docId w15:val="{C2386CAC-9F90-4D34-A656-301A143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 w:type="paragraph" w:styleId="NormalWeb">
    <w:name w:val="Normal (Web)"/>
    <w:basedOn w:val="Normal"/>
    <w:uiPriority w:val="99"/>
    <w:unhideWhenUsed/>
    <w:rsid w:val="002F05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0527"/>
    <w:rPr>
      <w:b/>
      <w:bCs/>
    </w:rPr>
  </w:style>
  <w:style w:type="character" w:styleId="Mention">
    <w:name w:val="Mention"/>
    <w:basedOn w:val="DefaultParagraphFont"/>
    <w:uiPriority w:val="99"/>
    <w:semiHidden/>
    <w:unhideWhenUsed/>
    <w:rsid w:val="005459D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218736819">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 w:id="20790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diotimes.com/news/2017-02-28/made-in-hull-theres-more-to-the-uks-city-of-culture-than-philip-larkin"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ulldailymail.co.uk/top-10-made-in-hull-city-of-culture-events-still-to-see/story-30180938-detail/story.html"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megan@filmhubnorth.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atsonstage.com/london-theatre/news/southbank-centre-launches-women-of-the-world-festival_43070.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debrief.co.uk/things-to-do/books/gemma-cairney-book-open-a-toolkit-for-how-magic-and-messy-life-can-be-20170466968" TargetMode="External"/><Relationship Id="rId23" Type="http://schemas.openxmlformats.org/officeDocument/2006/relationships/fontTable" Target="fontTable.xml"/><Relationship Id="rId10" Type="http://schemas.openxmlformats.org/officeDocument/2006/relationships/hyperlink" Target="http://www.broadwayworld.com/westend/article/Details-of-First-Ever-WOW--WOMEN-OF-THE-WORLD-HULL-Announced-for-UK-City-of-Culture-2017021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v.com/news/calendar/2017-02-08/royal-visit-for-uk-city-of-culture/"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98D1B49-858C-4449-ABE2-C75B40224A78}">
  <ds:schemaRefs>
    <ds:schemaRef ds:uri="http://schemas.openxmlformats.org/officeDocument/2006/bibliography"/>
  </ds:schemaRefs>
</ds:datastoreItem>
</file>

<file path=customXml/itemProps2.xml><?xml version="1.0" encoding="utf-8"?>
<ds:datastoreItem xmlns:ds="http://schemas.openxmlformats.org/officeDocument/2006/customXml" ds:itemID="{7C1EA74E-34B5-4DB3-BA80-14846319CEB9}"/>
</file>

<file path=customXml/itemProps3.xml><?xml version="1.0" encoding="utf-8"?>
<ds:datastoreItem xmlns:ds="http://schemas.openxmlformats.org/officeDocument/2006/customXml" ds:itemID="{40C85BDD-793F-43BF-AC43-A01B3413D8FD}"/>
</file>

<file path=customXml/itemProps4.xml><?xml version="1.0" encoding="utf-8"?>
<ds:datastoreItem xmlns:ds="http://schemas.openxmlformats.org/officeDocument/2006/customXml" ds:itemID="{8461CD33-FE23-4780-8093-624892DA5BDF}"/>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Pippa Gardner</cp:lastModifiedBy>
  <cp:revision>2</cp:revision>
  <cp:lastPrinted>2016-01-27T10:28:00Z</cp:lastPrinted>
  <dcterms:created xsi:type="dcterms:W3CDTF">2017-07-10T09:54:00Z</dcterms:created>
  <dcterms:modified xsi:type="dcterms:W3CDTF">2017-07-10T09:54:00Z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