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DDC01" w14:textId="77777777" w:rsidR="00941604" w:rsidRPr="00281ED5" w:rsidRDefault="00941604" w:rsidP="00941604">
      <w:pPr>
        <w:pStyle w:val="ACEBodyText"/>
        <w:tabs>
          <w:tab w:val="clear" w:pos="397"/>
          <w:tab w:val="left" w:pos="0"/>
        </w:tabs>
        <w:spacing w:line="240" w:lineRule="auto"/>
        <w:rPr>
          <w:sz w:val="22"/>
          <w:szCs w:val="22"/>
        </w:rPr>
      </w:pPr>
    </w:p>
    <w:p w14:paraId="37FDDC02" w14:textId="77777777" w:rsidR="00941604" w:rsidRDefault="00941604" w:rsidP="00941604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-3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</w:tblGrid>
      <w:tr w:rsidR="00941604" w14:paraId="37FDDC04" w14:textId="77777777" w:rsidTr="00E23E21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DC03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Assessment of damage effect, probability and risk</w:t>
            </w:r>
          </w:p>
        </w:tc>
      </w:tr>
      <w:tr w:rsidR="00941604" w14:paraId="37FDDC07" w14:textId="77777777" w:rsidTr="00E23E21">
        <w:trPr>
          <w:trHeight w:val="264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DC05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Low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DC06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</w:tr>
      <w:tr w:rsidR="00941604" w14:paraId="37FDDC0A" w14:textId="77777777" w:rsidTr="00E23E21">
        <w:trPr>
          <w:trHeight w:val="26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DC08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Medium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DC09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</w:tr>
      <w:tr w:rsidR="00941604" w14:paraId="37FDDC0D" w14:textId="77777777" w:rsidTr="00E23E21">
        <w:trPr>
          <w:trHeight w:val="26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DC0B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High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DC0C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</w:tr>
      <w:tr w:rsidR="00941604" w14:paraId="37FDDC10" w14:textId="77777777" w:rsidTr="00E23E21">
        <w:trPr>
          <w:trHeight w:val="262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DC0E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Very High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DC0F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</w:tr>
    </w:tbl>
    <w:p w14:paraId="37FDDC11" w14:textId="67EBBDB9" w:rsidR="00941604" w:rsidRDefault="00C13B10" w:rsidP="009416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2017 </w:t>
      </w:r>
      <w:r w:rsidR="00941604" w:rsidRPr="00714017">
        <w:rPr>
          <w:rFonts w:ascii="Arial" w:hAnsi="Arial" w:cs="Arial"/>
          <w:b/>
          <w:sz w:val="22"/>
          <w:szCs w:val="22"/>
        </w:rPr>
        <w:t>Risk Register</w:t>
      </w:r>
    </w:p>
    <w:p w14:paraId="37FDDC12" w14:textId="77777777" w:rsidR="00941604" w:rsidRDefault="00941604" w:rsidP="009416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Potential Risk areas, potential impact and mitigation</w:t>
      </w:r>
    </w:p>
    <w:p w14:paraId="37FDDC13" w14:textId="77777777" w:rsidR="00941604" w:rsidRDefault="00941604" w:rsidP="00941604">
      <w:pPr>
        <w:rPr>
          <w:rFonts w:ascii="Arial" w:hAnsi="Arial" w:cs="Arial"/>
          <w:b/>
          <w:sz w:val="22"/>
          <w:szCs w:val="22"/>
          <w:lang w:eastAsia="en-US"/>
        </w:rPr>
      </w:pPr>
    </w:p>
    <w:p w14:paraId="37FDDC14" w14:textId="77777777" w:rsidR="00353CAC" w:rsidRDefault="00353CAC" w:rsidP="00941604">
      <w:pPr>
        <w:rPr>
          <w:rFonts w:ascii="Arial" w:hAnsi="Arial" w:cs="Arial"/>
          <w:b/>
          <w:sz w:val="22"/>
          <w:szCs w:val="22"/>
        </w:rPr>
      </w:pPr>
    </w:p>
    <w:p w14:paraId="37FDDC15" w14:textId="77777777" w:rsidR="00941604" w:rsidRDefault="00941604" w:rsidP="009416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Financial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9"/>
        <w:gridCol w:w="3375"/>
        <w:gridCol w:w="5732"/>
        <w:gridCol w:w="563"/>
        <w:gridCol w:w="696"/>
        <w:gridCol w:w="563"/>
      </w:tblGrid>
      <w:tr w:rsidR="00941604" w14:paraId="37FDDC1C" w14:textId="77777777" w:rsidTr="00C13B10">
        <w:trPr>
          <w:cantSplit/>
          <w:trHeight w:val="1336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DC16" w14:textId="77777777" w:rsidR="00941604" w:rsidRDefault="00941604" w:rsidP="00E23E21">
            <w:pPr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Potential Risk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DC17" w14:textId="77777777" w:rsidR="00941604" w:rsidRDefault="00941604" w:rsidP="00E23E21">
            <w:pPr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Potential Impact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DC18" w14:textId="77777777" w:rsidR="00941604" w:rsidRDefault="00941604" w:rsidP="00E23E21">
            <w:pPr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Action to mitigate risk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FDDC19" w14:textId="77777777" w:rsidR="00941604" w:rsidRDefault="00941604" w:rsidP="00E23E21">
            <w:pPr>
              <w:ind w:left="113" w:right="113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lang w:val="en-US"/>
              </w:rPr>
              <w:t>Damage Effect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FDDC1A" w14:textId="77777777" w:rsidR="00941604" w:rsidRDefault="00941604" w:rsidP="00E23E21">
            <w:pPr>
              <w:ind w:left="113" w:right="113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lang w:val="en-US"/>
              </w:rPr>
              <w:t>Probability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FDDC1B" w14:textId="77777777" w:rsidR="00941604" w:rsidRDefault="00941604" w:rsidP="00E23E21">
            <w:pPr>
              <w:ind w:left="113" w:right="113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lang w:val="en-US"/>
              </w:rPr>
              <w:t>Risk</w:t>
            </w:r>
          </w:p>
        </w:tc>
      </w:tr>
      <w:tr w:rsidR="00941604" w14:paraId="37FDDC36" w14:textId="77777777" w:rsidTr="00C13B10">
        <w:trPr>
          <w:trHeight w:val="850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2F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Underperformance on box office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30" w14:textId="77777777" w:rsidR="00941604" w:rsidRDefault="00941604" w:rsidP="00E23E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Loss of essential income</w:t>
            </w:r>
          </w:p>
          <w:p w14:paraId="37FDDC31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32" w14:textId="299B93D1" w:rsidR="00941604" w:rsidRDefault="00C13B10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Key productions with clear marketing strategies and audience engagement points supported by HULL2017. Reduced </w:t>
            </w:r>
            <w:r w:rsidR="00941604">
              <w:rPr>
                <w:rFonts w:ascii="Arial" w:hAnsi="Arial" w:cs="Arial"/>
                <w:sz w:val="22"/>
                <w:szCs w:val="22"/>
                <w:lang w:val="en-US" w:eastAsia="en-US"/>
              </w:rPr>
              <w:t>programme of visiting work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 focusing on popular </w:t>
            </w:r>
            <w:r w:rsidR="00941604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comedy and </w:t>
            </w: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known sellers ie John Godber</w:t>
            </w:r>
            <w:r w:rsidR="00941604">
              <w:rPr>
                <w:rFonts w:ascii="Arial" w:hAnsi="Arial" w:cs="Arial"/>
                <w:sz w:val="22"/>
                <w:szCs w:val="22"/>
                <w:lang w:val="en-US" w:eastAsia="en-US"/>
              </w:rPr>
              <w:t>. Strong communications campaigns for produced work.  New look brochure and website</w:t>
            </w:r>
            <w:r w:rsidR="00E23E21"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.  </w:t>
            </w:r>
            <w:bookmarkStart w:id="0" w:name="_GoBack"/>
            <w:bookmarkEnd w:id="0"/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33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34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35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</w:tr>
      <w:tr w:rsidR="00941604" w14:paraId="37FDDC3D" w14:textId="77777777" w:rsidTr="00C13B10">
        <w:trPr>
          <w:trHeight w:val="1153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37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Liquidity and cash flow 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38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Unable to trade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39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Monitor and manage cash flow monthly</w:t>
            </w:r>
            <w:r w:rsidR="00E23E21">
              <w:rPr>
                <w:rFonts w:ascii="Arial" w:hAnsi="Arial" w:cs="Arial"/>
                <w:sz w:val="22"/>
                <w:szCs w:val="22"/>
                <w:lang w:val="en-US"/>
              </w:rPr>
              <w:t>, 18 months plan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.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3A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3B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3C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</w:tr>
      <w:tr w:rsidR="00941604" w14:paraId="37FDDC44" w14:textId="77777777" w:rsidTr="00C13B10">
        <w:trPr>
          <w:trHeight w:val="850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3E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Expenditure budgets are exceeded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3F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Unable to pay creditors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40" w14:textId="77777777" w:rsidR="00941604" w:rsidRDefault="00E23E21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HODs now trained on budgeting </w:t>
            </w:r>
            <w:r w:rsidR="00941604">
              <w:rPr>
                <w:rFonts w:ascii="Arial" w:hAnsi="Arial" w:cs="Arial"/>
                <w:sz w:val="22"/>
                <w:szCs w:val="22"/>
                <w:lang w:val="en-US"/>
              </w:rPr>
              <w:t>Executive Director and HODs rigorous attention to committed expenditure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41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42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43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</w:tr>
      <w:tr w:rsidR="00941604" w14:paraId="37FDDC4B" w14:textId="77777777" w:rsidTr="00C13B10">
        <w:trPr>
          <w:trHeight w:val="850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45" w14:textId="77777777" w:rsidR="00941604" w:rsidRDefault="00941604" w:rsidP="00E23E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HCC or ACE core grant reduction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46" w14:textId="77777777" w:rsidR="00941604" w:rsidRDefault="00E23E21" w:rsidP="00E23E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Loss of core income 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47" w14:textId="77777777" w:rsidR="00941604" w:rsidRDefault="00941604" w:rsidP="00E23E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Clear communication and relationship building with HCC and ACE.</w:t>
            </w:r>
            <w:r w:rsidR="00E23E21">
              <w:rPr>
                <w:rFonts w:ascii="Arial" w:hAnsi="Arial" w:cs="Arial"/>
                <w:sz w:val="22"/>
                <w:szCs w:val="22"/>
                <w:lang w:val="en-US"/>
              </w:rPr>
              <w:t xml:space="preserve"> Agreements in princip</w:t>
            </w:r>
            <w:r w:rsidR="00B919B6">
              <w:rPr>
                <w:rFonts w:ascii="Arial" w:hAnsi="Arial" w:cs="Arial"/>
                <w:sz w:val="22"/>
                <w:szCs w:val="22"/>
                <w:lang w:val="en-US"/>
              </w:rPr>
              <w:t>le for grants amount.  City of C</w:t>
            </w:r>
            <w:r w:rsidR="00E23E21">
              <w:rPr>
                <w:rFonts w:ascii="Arial" w:hAnsi="Arial" w:cs="Arial"/>
                <w:sz w:val="22"/>
                <w:szCs w:val="22"/>
                <w:lang w:val="en-US"/>
              </w:rPr>
              <w:t>ulture m</w:t>
            </w:r>
            <w:r w:rsidR="00B919B6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="00E23E21">
              <w:rPr>
                <w:rFonts w:ascii="Arial" w:hAnsi="Arial" w:cs="Arial"/>
                <w:sz w:val="22"/>
                <w:szCs w:val="22"/>
                <w:lang w:val="en-US"/>
              </w:rPr>
              <w:t>ans HT important to the city during 15-18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48" w14:textId="77777777" w:rsidR="00941604" w:rsidRDefault="00941604" w:rsidP="00E23E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49" w14:textId="77777777" w:rsidR="00941604" w:rsidRDefault="00941604" w:rsidP="00E23E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4A" w14:textId="77777777" w:rsidR="00941604" w:rsidRDefault="00941604" w:rsidP="00E23E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</w:tr>
      <w:tr w:rsidR="00C13B10" w14:paraId="7C8503C4" w14:textId="77777777" w:rsidTr="004D2E19">
        <w:trPr>
          <w:trHeight w:val="850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1100" w14:textId="77777777" w:rsidR="00C13B10" w:rsidRDefault="00C13B10" w:rsidP="004D2E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Development income target not met, completion from City of culture fundraising.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FFF1" w14:textId="77777777" w:rsidR="00C13B10" w:rsidRDefault="00C13B10" w:rsidP="004D2E1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Loss of essential income to deliver plan</w:t>
            </w:r>
          </w:p>
          <w:p w14:paraId="3FD9C3AD" w14:textId="77777777" w:rsidR="00C13B10" w:rsidRDefault="00C13B10" w:rsidP="004D2E19">
            <w:pPr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98E5" w14:textId="77777777" w:rsidR="00C13B10" w:rsidRDefault="00C13B10" w:rsidP="004D2E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Clear 3 year strategy taking into account 2017. Targets split across fundraising strands.  Collective responsibility for achieving across Board, SMT.  New development committee.  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42E3" w14:textId="77777777" w:rsidR="00C13B10" w:rsidRDefault="00C13B10" w:rsidP="004D2E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D30E" w14:textId="77777777" w:rsidR="00C13B10" w:rsidRDefault="00C13B10" w:rsidP="004D2E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C30F" w14:textId="77777777" w:rsidR="00C13B10" w:rsidRDefault="00C13B10" w:rsidP="004D2E19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</w:tr>
    </w:tbl>
    <w:p w14:paraId="37FDDC4C" w14:textId="77777777" w:rsidR="00353CAC" w:rsidRDefault="00353CAC" w:rsidP="00941604">
      <w:pPr>
        <w:rPr>
          <w:rFonts w:ascii="Arial" w:hAnsi="Arial" w:cs="Arial"/>
          <w:b/>
          <w:sz w:val="22"/>
          <w:szCs w:val="22"/>
        </w:rPr>
      </w:pPr>
    </w:p>
    <w:p w14:paraId="37FDDC4D" w14:textId="77777777" w:rsidR="00941604" w:rsidRDefault="00941604" w:rsidP="00941604">
      <w:pPr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lastRenderedPageBreak/>
        <w:t>Governance &amp; Management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3381"/>
        <w:gridCol w:w="5749"/>
        <w:gridCol w:w="563"/>
        <w:gridCol w:w="698"/>
        <w:gridCol w:w="563"/>
      </w:tblGrid>
      <w:tr w:rsidR="00941604" w14:paraId="37FDDC54" w14:textId="77777777" w:rsidTr="00353CAC">
        <w:trPr>
          <w:cantSplit/>
          <w:trHeight w:val="1336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DC4E" w14:textId="77777777" w:rsidR="00941604" w:rsidRDefault="00941604" w:rsidP="00E23E21">
            <w:pPr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Potential Risk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DC4F" w14:textId="77777777" w:rsidR="00941604" w:rsidRDefault="00941604" w:rsidP="00E23E21">
            <w:pPr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Potential Impact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DC50" w14:textId="77777777" w:rsidR="00941604" w:rsidRDefault="00941604" w:rsidP="00E23E21">
            <w:pPr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Action to mitigate risk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FDDC51" w14:textId="77777777" w:rsidR="00941604" w:rsidRDefault="00941604" w:rsidP="00E23E21">
            <w:pPr>
              <w:ind w:left="113" w:right="113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lang w:val="en-US"/>
              </w:rPr>
              <w:t>Damage Effect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FDDC52" w14:textId="77777777" w:rsidR="00941604" w:rsidRDefault="00941604" w:rsidP="00E23E21">
            <w:pPr>
              <w:ind w:left="113" w:right="113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lang w:val="en-US"/>
              </w:rPr>
              <w:t>Probability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7FDDC53" w14:textId="77777777" w:rsidR="00941604" w:rsidRDefault="00941604" w:rsidP="00E23E21">
            <w:pPr>
              <w:ind w:left="113" w:right="113"/>
              <w:rPr>
                <w:rFonts w:ascii="Arial" w:hAnsi="Arial" w:cs="Arial"/>
                <w:b/>
                <w:lang w:val="en-US" w:eastAsia="en-US"/>
              </w:rPr>
            </w:pPr>
            <w:r>
              <w:rPr>
                <w:rFonts w:ascii="Arial" w:hAnsi="Arial" w:cs="Arial"/>
                <w:b/>
                <w:lang w:val="en-US"/>
              </w:rPr>
              <w:t>Risk</w:t>
            </w:r>
          </w:p>
        </w:tc>
      </w:tr>
      <w:tr w:rsidR="00941604" w14:paraId="37FDDC5D" w14:textId="77777777" w:rsidTr="00353CAC">
        <w:trPr>
          <w:trHeight w:val="850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55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Unplanned loss of SMT Team/Board members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56" w14:textId="77777777" w:rsidR="00941604" w:rsidRDefault="00941604" w:rsidP="00E23E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Loss of leadership and vision</w:t>
            </w:r>
          </w:p>
          <w:p w14:paraId="37FDDC57" w14:textId="77777777" w:rsidR="00941604" w:rsidRDefault="00941604" w:rsidP="00E23E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Loss of knowledge and expertise</w:t>
            </w:r>
          </w:p>
          <w:p w14:paraId="37FDDC58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Potential for business disruption / loss of focus</w:t>
            </w: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59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Shared vision and work priorities across departments. Appraisal and training plans to retain staff. 3 month notice periods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5A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5B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5C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</w:tr>
      <w:tr w:rsidR="00E23E21" w14:paraId="37FDDC65" w14:textId="77777777" w:rsidTr="00353CAC">
        <w:trPr>
          <w:trHeight w:val="680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5E" w14:textId="77777777" w:rsidR="00E23E21" w:rsidRDefault="00E23E21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Board is unable to make timely decisions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5F" w14:textId="77777777" w:rsidR="00E23E21" w:rsidRDefault="00E23E21" w:rsidP="00E23E2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Targets are unmet</w:t>
            </w:r>
          </w:p>
          <w:p w14:paraId="37FDDC60" w14:textId="77777777" w:rsidR="00E23E21" w:rsidRDefault="00E23E21" w:rsidP="00E23E21">
            <w:pPr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5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61" w14:textId="77777777" w:rsidR="00E23E21" w:rsidRDefault="00B919B6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Experienced C</w:t>
            </w:r>
            <w:r w:rsidR="00E23E21">
              <w:rPr>
                <w:rFonts w:ascii="Arial" w:hAnsi="Arial" w:cs="Arial"/>
                <w:sz w:val="22"/>
                <w:szCs w:val="22"/>
                <w:lang w:val="en-US"/>
              </w:rPr>
              <w:t>hair able to lead the board. Annual timetable of decision and processes. Clear agenda and papers to assist decision making process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62" w14:textId="77777777" w:rsidR="00E23E21" w:rsidRDefault="00E23E21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63" w14:textId="77777777" w:rsidR="00E23E21" w:rsidRDefault="00E23E21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64" w14:textId="77777777" w:rsidR="00E23E21" w:rsidRDefault="00E23E21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1</w:t>
            </w:r>
          </w:p>
        </w:tc>
      </w:tr>
    </w:tbl>
    <w:p w14:paraId="37FDDC66" w14:textId="77777777" w:rsidR="00941604" w:rsidRDefault="00941604" w:rsidP="00941604">
      <w:pPr>
        <w:rPr>
          <w:rFonts w:ascii="Arial" w:hAnsi="Arial" w:cs="Arial"/>
          <w:sz w:val="22"/>
          <w:szCs w:val="22"/>
          <w:lang w:eastAsia="en-US"/>
        </w:rPr>
      </w:pPr>
    </w:p>
    <w:p w14:paraId="37FDDC67" w14:textId="77777777" w:rsidR="00941604" w:rsidRDefault="00941604" w:rsidP="009416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Operational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3389"/>
        <w:gridCol w:w="5770"/>
        <w:gridCol w:w="556"/>
        <w:gridCol w:w="690"/>
        <w:gridCol w:w="556"/>
      </w:tblGrid>
      <w:tr w:rsidR="00941604" w14:paraId="37FDDC6E" w14:textId="77777777" w:rsidTr="00353CAC">
        <w:trPr>
          <w:trHeight w:val="6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68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New Website  failure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69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Service d</w:t>
            </w:r>
            <w:r w:rsidR="00B919B6">
              <w:rPr>
                <w:rFonts w:ascii="Arial" w:hAnsi="Arial" w:cs="Arial"/>
                <w:sz w:val="22"/>
                <w:szCs w:val="22"/>
                <w:lang w:val="en-US"/>
              </w:rPr>
              <w:t>isruption and not able to fulfi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l objectives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6A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Strong planned process involving all departments.  Clearly outlined objectives.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6B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6C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6D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</w:tr>
      <w:tr w:rsidR="00941604" w14:paraId="37FDDC75" w14:textId="77777777" w:rsidTr="00353CAC">
        <w:trPr>
          <w:trHeight w:val="680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6F" w14:textId="77777777" w:rsidR="00941604" w:rsidRDefault="00E23E21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Loss of key staff members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70" w14:textId="77777777" w:rsidR="00941604" w:rsidRDefault="00E23E21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>Service delivery effected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71" w14:textId="77777777" w:rsidR="00941604" w:rsidRDefault="0014522A" w:rsidP="0014522A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US"/>
              </w:rPr>
              <w:t xml:space="preserve">Staff investment and Training plan to build retention of staff.  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72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73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74" w14:textId="77777777" w:rsidR="00941604" w:rsidRDefault="00941604" w:rsidP="00E23E21">
            <w:pPr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</w:p>
        </w:tc>
      </w:tr>
    </w:tbl>
    <w:p w14:paraId="37FDDC76" w14:textId="77777777" w:rsidR="00E23E21" w:rsidRDefault="00E23E21"/>
    <w:sectPr w:rsidR="00E23E21" w:rsidSect="00353CAC">
      <w:foot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FDDC79" w14:textId="77777777" w:rsidR="00E23E21" w:rsidRDefault="00E23E21" w:rsidP="006F5C89">
      <w:r>
        <w:separator/>
      </w:r>
    </w:p>
  </w:endnote>
  <w:endnote w:type="continuationSeparator" w:id="0">
    <w:p w14:paraId="37FDDC7A" w14:textId="77777777" w:rsidR="00E23E21" w:rsidRDefault="00E23E21" w:rsidP="006F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964518"/>
      <w:docPartObj>
        <w:docPartGallery w:val="Page Numbers (Bottom of Page)"/>
        <w:docPartUnique/>
      </w:docPartObj>
    </w:sdtPr>
    <w:sdtEndPr/>
    <w:sdtContent>
      <w:p w14:paraId="37FDDC7C" w14:textId="6CA6B35A" w:rsidR="00E23E21" w:rsidRDefault="00022E55">
        <w:pPr>
          <w:pStyle w:val="Footer"/>
        </w:pPr>
        <w:r>
          <w:fldChar w:fldCharType="begin"/>
        </w:r>
        <w:r w:rsidR="00B919B6">
          <w:instrText xml:space="preserve"> PAGE   \* MERGEFORMAT </w:instrText>
        </w:r>
        <w:r>
          <w:fldChar w:fldCharType="separate"/>
        </w:r>
        <w:r w:rsidR="00C13B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FDDC7D" w14:textId="77777777" w:rsidR="00E23E21" w:rsidRDefault="00E23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DDC77" w14:textId="77777777" w:rsidR="00E23E21" w:rsidRDefault="00E23E21" w:rsidP="006F5C89">
      <w:r>
        <w:separator/>
      </w:r>
    </w:p>
  </w:footnote>
  <w:footnote w:type="continuationSeparator" w:id="0">
    <w:p w14:paraId="37FDDC78" w14:textId="77777777" w:rsidR="00E23E21" w:rsidRDefault="00E23E21" w:rsidP="006F5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04"/>
    <w:rsid w:val="00022E55"/>
    <w:rsid w:val="00052559"/>
    <w:rsid w:val="0014522A"/>
    <w:rsid w:val="001B48D6"/>
    <w:rsid w:val="00353CAC"/>
    <w:rsid w:val="00367836"/>
    <w:rsid w:val="0041307C"/>
    <w:rsid w:val="00692935"/>
    <w:rsid w:val="006F5C89"/>
    <w:rsid w:val="0087718C"/>
    <w:rsid w:val="00941604"/>
    <w:rsid w:val="009B38C2"/>
    <w:rsid w:val="009E2337"/>
    <w:rsid w:val="00B919B6"/>
    <w:rsid w:val="00BE732A"/>
    <w:rsid w:val="00C13B10"/>
    <w:rsid w:val="00E23E21"/>
    <w:rsid w:val="00E82EAF"/>
    <w:rsid w:val="00F70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DDC01"/>
  <w15:docId w15:val="{B378C754-F20A-4A75-B18A-15E8FE1B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941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EBodyText">
    <w:name w:val="ACE Body Text"/>
    <w:link w:val="ACEBodyTextChar"/>
    <w:rsid w:val="00941604"/>
    <w:pPr>
      <w:tabs>
        <w:tab w:val="left" w:pos="397"/>
      </w:tabs>
      <w:spacing w:after="0" w:line="320" w:lineRule="atLeast"/>
    </w:pPr>
    <w:rPr>
      <w:rFonts w:ascii="Arial" w:eastAsia="Times New Roman" w:hAnsi="Arial" w:cs="Arial"/>
      <w:sz w:val="24"/>
      <w:szCs w:val="24"/>
      <w:lang w:eastAsia="en-GB"/>
    </w:rPr>
  </w:style>
  <w:style w:type="character" w:customStyle="1" w:styleId="ACEBodyTextChar">
    <w:name w:val="ACE Body Text Char"/>
    <w:link w:val="ACEBodyText"/>
    <w:locked/>
    <w:rsid w:val="00941604"/>
    <w:rPr>
      <w:rFonts w:ascii="Arial" w:eastAsia="Times New Roman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9416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16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B48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8D6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5688D4F03734C86FD044D9B3260E3" ma:contentTypeVersion="2" ma:contentTypeDescription="Create a new document." ma:contentTypeScope="" ma:versionID="de7b180c953eb0b6b2edb7507eedad49">
  <xsd:schema xmlns:xsd="http://www.w3.org/2001/XMLSchema" xmlns:xs="http://www.w3.org/2001/XMLSchema" xmlns:p="http://schemas.microsoft.com/office/2006/metadata/properties" xmlns:ns2="2ea638cd-37b0-40bf-a002-4e77b141fa4d" targetNamespace="http://schemas.microsoft.com/office/2006/metadata/properties" ma:root="true" ma:fieldsID="6a9c75dfade2cff9aaa58e42ab744104" ns2:_="">
    <xsd:import namespace="2ea638cd-37b0-40bf-a002-4e77b141fa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638cd-37b0-40bf-a002-4e77b141fa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4D72A2D-3457-458D-9903-1ABACD509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3C7525-A369-41D4-9E1C-5F98C86C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a638cd-37b0-40bf-a002-4e77b141fa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41D0B3-B586-4999-9C18-5832CF4975AA}">
  <ds:schemaRefs>
    <ds:schemaRef ds:uri="2ea638cd-37b0-40bf-a002-4e77b141fa4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Truck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janthi.mills-ward</dc:creator>
  <cp:lastModifiedBy>Janthi Mills-Ward</cp:lastModifiedBy>
  <cp:revision>3</cp:revision>
  <cp:lastPrinted>2015-02-05T14:45:00Z</cp:lastPrinted>
  <dcterms:created xsi:type="dcterms:W3CDTF">2017-04-25T17:30:00Z</dcterms:created>
  <dcterms:modified xsi:type="dcterms:W3CDTF">2017-04-25T17:33:00Z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0x010100F905688D4F03734C86FD044D9B3260E3</vt:lpwstr>
  </property>
</Properties>
</file>