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CF2" w:rsidRPr="00501DEB" w:rsidRDefault="001E3CF2">
      <w:pPr>
        <w:rPr>
          <w:rFonts w:ascii="Trebuchet MS" w:hAnsi="Trebuchet MS"/>
          <w:lang w:val="en-GB"/>
        </w:rPr>
      </w:pPr>
    </w:p>
    <w:p w:rsidR="001E3CF2" w:rsidRPr="00501DEB" w:rsidRDefault="001E3CF2" w:rsidP="004A31B6">
      <w:pPr>
        <w:pStyle w:val="CCLtdChapterHeading"/>
      </w:pPr>
      <w:r w:rsidRPr="00501DEB">
        <w:t>Society &amp; Wellbeing</w:t>
      </w:r>
    </w:p>
    <w:p w:rsidR="001E3CF2" w:rsidRPr="00501DEB" w:rsidRDefault="001E3CF2" w:rsidP="001E3CF2">
      <w:pPr>
        <w:rPr>
          <w:rFonts w:ascii="Trebuchet MS" w:hAnsi="Trebuchet MS"/>
          <w:lang w:val="en-GB"/>
        </w:rPr>
      </w:pPr>
    </w:p>
    <w:p w:rsidR="001E3CF2" w:rsidRPr="00501DEB" w:rsidRDefault="001E3CF2" w:rsidP="004A31B6">
      <w:pPr>
        <w:pStyle w:val="CCLtdSubHeading"/>
      </w:pPr>
      <w:r w:rsidRPr="00501DEB">
        <w:t>Introduction</w:t>
      </w:r>
    </w:p>
    <w:p w:rsidR="001E3CF2" w:rsidRPr="00501DEB" w:rsidRDefault="001E3CF2" w:rsidP="001E3CF2">
      <w:pPr>
        <w:pStyle w:val="CCLtdNormal"/>
        <w:rPr>
          <w:lang w:val="en-GB"/>
        </w:rPr>
      </w:pPr>
      <w:r w:rsidRPr="00501DEB">
        <w:rPr>
          <w:lang w:val="en-GB"/>
        </w:rPr>
        <w:t>Society &amp; Wellbeing is one of the key themes of Hull 2017, made up of two aims and their accompanying objectives:</w:t>
      </w:r>
    </w:p>
    <w:p w:rsidR="001E3CF2" w:rsidRPr="00501DEB" w:rsidRDefault="001E3CF2" w:rsidP="004F75F5">
      <w:pPr>
        <w:pStyle w:val="CCLtdBullet1"/>
        <w:rPr>
          <w:b/>
        </w:rPr>
      </w:pPr>
      <w:r w:rsidRPr="00501DEB">
        <w:rPr>
          <w:b/>
        </w:rPr>
        <w:t xml:space="preserve">Aim 7: </w:t>
      </w:r>
      <w:r w:rsidR="002166D5" w:rsidRPr="00501DEB">
        <w:rPr>
          <w:b/>
        </w:rPr>
        <w:t>To i</w:t>
      </w:r>
      <w:r w:rsidRPr="00501DEB">
        <w:rPr>
          <w:b/>
        </w:rPr>
        <w:t xml:space="preserve">mprove wellbeing </w:t>
      </w:r>
      <w:r w:rsidR="002166D5" w:rsidRPr="00501DEB">
        <w:rPr>
          <w:b/>
        </w:rPr>
        <w:t xml:space="preserve">of residents </w:t>
      </w:r>
      <w:r w:rsidRPr="00501DEB">
        <w:rPr>
          <w:b/>
        </w:rPr>
        <w:t>through engagement and participation</w:t>
      </w:r>
    </w:p>
    <w:p w:rsidR="00295594" w:rsidRPr="00501DEB" w:rsidRDefault="00295594" w:rsidP="004F75F5">
      <w:pPr>
        <w:pStyle w:val="CCLtdBullet2"/>
      </w:pPr>
      <w:r w:rsidRPr="00501DEB">
        <w:rPr>
          <w:b/>
        </w:rPr>
        <w:t>Object</w:t>
      </w:r>
      <w:r w:rsidR="00A60461" w:rsidRPr="00501DEB">
        <w:rPr>
          <w:b/>
        </w:rPr>
        <w:t>ive 13</w:t>
      </w:r>
      <w:r w:rsidRPr="00501DEB">
        <w:rPr>
          <w:b/>
        </w:rPr>
        <w:t xml:space="preserve">: </w:t>
      </w:r>
      <w:r w:rsidRPr="00501DEB">
        <w:t>Increase levels of confidence and community cohesion among local audiences and participants</w:t>
      </w:r>
      <w:r w:rsidR="00A405E8" w:rsidRPr="00501DEB">
        <w:t>.</w:t>
      </w:r>
      <w:r w:rsidRPr="00501DEB">
        <w:t xml:space="preserve"> </w:t>
      </w:r>
    </w:p>
    <w:p w:rsidR="00295594" w:rsidRPr="00501DEB" w:rsidRDefault="00295594" w:rsidP="004F75F5">
      <w:pPr>
        <w:pStyle w:val="CCLtdBullet2"/>
      </w:pPr>
      <w:r w:rsidRPr="00501DEB">
        <w:rPr>
          <w:b/>
        </w:rPr>
        <w:t xml:space="preserve">Objective </w:t>
      </w:r>
      <w:r w:rsidR="00A60461" w:rsidRPr="00501DEB">
        <w:rPr>
          <w:b/>
        </w:rPr>
        <w:t xml:space="preserve">14: </w:t>
      </w:r>
      <w:r w:rsidRPr="00501DEB">
        <w:t>Increase levels of happiness and engagement, through arts and culture</w:t>
      </w:r>
      <w:r w:rsidR="00A405E8" w:rsidRPr="00501DEB">
        <w:t>.</w:t>
      </w:r>
    </w:p>
    <w:p w:rsidR="00295594" w:rsidRPr="00501DEB" w:rsidRDefault="00A405E8" w:rsidP="004F75F5">
      <w:pPr>
        <w:pStyle w:val="CCLtdBullet2"/>
      </w:pPr>
      <w:r w:rsidRPr="00501DEB">
        <w:rPr>
          <w:b/>
        </w:rPr>
        <w:t xml:space="preserve">Objective 15: </w:t>
      </w:r>
      <w:r w:rsidR="00295594" w:rsidRPr="00501DEB">
        <w:t xml:space="preserve">Engage individuals from Hull and beyond to volunteer </w:t>
      </w:r>
    </w:p>
    <w:p w:rsidR="006D0664" w:rsidRPr="00501DEB" w:rsidRDefault="001E3CF2" w:rsidP="004F75F5">
      <w:pPr>
        <w:pStyle w:val="CCLtdBullet1"/>
        <w:rPr>
          <w:b/>
        </w:rPr>
      </w:pPr>
      <w:r w:rsidRPr="00501DEB">
        <w:rPr>
          <w:b/>
        </w:rPr>
        <w:t xml:space="preserve">Aim 8: </w:t>
      </w:r>
      <w:r w:rsidR="006D0664" w:rsidRPr="00501DEB">
        <w:rPr>
          <w:b/>
        </w:rPr>
        <w:t>To raise the aspirations, abilities and knowledge of residents through increased participation and learning</w:t>
      </w:r>
    </w:p>
    <w:p w:rsidR="006D0664" w:rsidRPr="00501DEB" w:rsidRDefault="001E3CF2" w:rsidP="004F75F5">
      <w:pPr>
        <w:pStyle w:val="CCLtdBullet2"/>
      </w:pPr>
      <w:r w:rsidRPr="00501DEB">
        <w:rPr>
          <w:b/>
        </w:rPr>
        <w:t>Objective 1</w:t>
      </w:r>
      <w:r w:rsidR="00A405E8" w:rsidRPr="00501DEB">
        <w:rPr>
          <w:b/>
        </w:rPr>
        <w:t>6</w:t>
      </w:r>
      <w:r w:rsidRPr="00501DEB">
        <w:rPr>
          <w:b/>
        </w:rPr>
        <w:t xml:space="preserve">: </w:t>
      </w:r>
      <w:r w:rsidR="006D0664" w:rsidRPr="00501DEB">
        <w:t xml:space="preserve">Through all Hull-based education institutions, provide young people of school-age with the opportunity to engage with arts, culture and creativity </w:t>
      </w:r>
    </w:p>
    <w:p w:rsidR="00295594" w:rsidRPr="00501DEB" w:rsidRDefault="00A405E8" w:rsidP="004F75F5">
      <w:pPr>
        <w:pStyle w:val="CCLtdBullet2"/>
      </w:pPr>
      <w:r w:rsidRPr="00501DEB">
        <w:rPr>
          <w:b/>
        </w:rPr>
        <w:t>Objective 17</w:t>
      </w:r>
      <w:r w:rsidR="00295594" w:rsidRPr="00501DEB">
        <w:rPr>
          <w:b/>
        </w:rPr>
        <w:t>:</w:t>
      </w:r>
      <w:r w:rsidR="00295594" w:rsidRPr="00501DEB">
        <w:t xml:space="preserve"> </w:t>
      </w:r>
      <w:r w:rsidR="006D0664" w:rsidRPr="00501DEB">
        <w:t>Deliver training, development and participation opportunities for residents through arts and culture initiatives.</w:t>
      </w:r>
    </w:p>
    <w:p w:rsidR="001E3CF2" w:rsidRPr="00501DEB" w:rsidRDefault="00A90C97" w:rsidP="001E3CF2">
      <w:pPr>
        <w:pStyle w:val="CCLtdNormal"/>
        <w:rPr>
          <w:lang w:val="en-GB"/>
        </w:rPr>
      </w:pPr>
      <w:r w:rsidRPr="00501DEB">
        <w:rPr>
          <w:lang w:val="en-GB"/>
        </w:rPr>
        <w:t>Look Up</w:t>
      </w:r>
      <w:r w:rsidR="001E3CF2" w:rsidRPr="00501DEB">
        <w:rPr>
          <w:lang w:val="en-GB"/>
        </w:rPr>
        <w:t xml:space="preserve"> will be evaluated in reference to these aims and objectives, as well as identifying additional outcome areas not covered in the above, but linked to the aims and objectives specific to the project (see Chapter 1).</w:t>
      </w:r>
    </w:p>
    <w:p w:rsidR="001E3CF2" w:rsidRPr="00501DEB" w:rsidRDefault="001E3CF2" w:rsidP="004A31B6">
      <w:pPr>
        <w:pStyle w:val="CCLtdSubHeading"/>
      </w:pPr>
      <w:r w:rsidRPr="00501DEB">
        <w:t>Value Statements About Look Up</w:t>
      </w:r>
    </w:p>
    <w:p w:rsidR="001E3CF2" w:rsidRPr="00501DEB" w:rsidRDefault="001E3CF2" w:rsidP="001E3CF2">
      <w:pPr>
        <w:pStyle w:val="CCLtdNormal"/>
        <w:rPr>
          <w:lang w:val="en-GB"/>
        </w:rPr>
      </w:pPr>
      <w:r w:rsidRPr="00501DEB">
        <w:rPr>
          <w:lang w:val="en-GB"/>
        </w:rPr>
        <w:t xml:space="preserve">Audiences were asked to rate the individual Look Up artworks against a variety of value statements, some that linked to society and wellbeing (see </w:t>
      </w:r>
      <w:bookmarkStart w:id="0" w:name="_GoBack"/>
      <w:r w:rsidRPr="003738CF">
        <w:rPr>
          <w:lang w:val="en-GB"/>
        </w:rPr>
        <w:t>Table</w:t>
      </w:r>
      <w:bookmarkEnd w:id="0"/>
      <w:r w:rsidRPr="003738CF">
        <w:rPr>
          <w:lang w:val="en-GB"/>
        </w:rPr>
        <w:t xml:space="preserve"> </w:t>
      </w:r>
      <w:r w:rsidR="003738CF">
        <w:rPr>
          <w:lang w:val="en-GB"/>
        </w:rPr>
        <w:t>4</w:t>
      </w:r>
      <w:r w:rsidR="001C4BD9">
        <w:rPr>
          <w:lang w:val="en-GB"/>
        </w:rPr>
        <w:t>6</w:t>
      </w:r>
      <w:r w:rsidRPr="00501DEB">
        <w:rPr>
          <w:lang w:val="en-GB"/>
        </w:rPr>
        <w:t>). Other value statements have been dealt with in preceding chapters.</w:t>
      </w:r>
    </w:p>
    <w:p w:rsidR="0033623A" w:rsidRPr="00501DEB" w:rsidRDefault="0033623A" w:rsidP="0033623A">
      <w:pPr>
        <w:pStyle w:val="CCLtdNormal"/>
        <w:rPr>
          <w:lang w:val="en-GB"/>
        </w:rPr>
      </w:pPr>
      <w:r w:rsidRPr="00501DEB">
        <w:rPr>
          <w:lang w:val="en-GB"/>
        </w:rPr>
        <w:t xml:space="preserve">Look Up seems to have been particularly successful </w:t>
      </w:r>
      <w:r w:rsidR="00501DEB" w:rsidRPr="00501DEB">
        <w:rPr>
          <w:lang w:val="en-GB"/>
        </w:rPr>
        <w:t>regarding</w:t>
      </w:r>
      <w:r w:rsidRPr="00501DEB">
        <w:rPr>
          <w:lang w:val="en-GB"/>
        </w:rPr>
        <w:t xml:space="preserve"> the statements ‘…gave everyone a chance to share and celebrate together’ and ‘…was an enjoyable experience’, with approximately nine in ten audience members agreeing with both statements.</w:t>
      </w:r>
    </w:p>
    <w:p w:rsidR="0033623A" w:rsidRPr="00501DEB" w:rsidRDefault="0033623A" w:rsidP="0033623A">
      <w:pPr>
        <w:pStyle w:val="CCLtdNormal"/>
        <w:rPr>
          <w:lang w:val="en-GB"/>
        </w:rPr>
      </w:pPr>
      <w:r w:rsidRPr="00501DEB">
        <w:rPr>
          <w:lang w:val="en-GB"/>
        </w:rPr>
        <w:t>Around two thirds of audiences agreed with the statements that Look Up ‘…made me feel more connected to the stories of Hull and its people’ and ‘…gave me the opportunity to interact with other people who I normally wouldn’t have interacted with’, which is significant.</w:t>
      </w:r>
    </w:p>
    <w:p w:rsidR="0033623A" w:rsidRPr="00501DEB" w:rsidRDefault="0033623A" w:rsidP="0033623A">
      <w:pPr>
        <w:pStyle w:val="CCLtdNormal"/>
        <w:rPr>
          <w:lang w:val="en-GB"/>
        </w:rPr>
      </w:pPr>
      <w:r w:rsidRPr="00501DEB">
        <w:rPr>
          <w:lang w:val="en-GB"/>
        </w:rPr>
        <w:lastRenderedPageBreak/>
        <w:t>Equally, six in ten audience members agreed that Look Up ‘…has made me think that getting involved in a project as a volunteer looks like fun’.</w:t>
      </w:r>
    </w:p>
    <w:p w:rsidR="001E3CF2" w:rsidRPr="00501DEB" w:rsidRDefault="001E3CF2" w:rsidP="001E3CF2">
      <w:pPr>
        <w:pStyle w:val="CCLtdTableTitle"/>
        <w:rPr>
          <w:lang w:val="en-GB"/>
        </w:rPr>
      </w:pPr>
      <w:r w:rsidRPr="00F961D8">
        <w:rPr>
          <w:lang w:val="en-GB"/>
        </w:rPr>
        <w:t xml:space="preserve">Table </w:t>
      </w:r>
      <w:r w:rsidR="00E52FEB">
        <w:rPr>
          <w:lang w:val="en-GB"/>
        </w:rPr>
        <w:t>46</w:t>
      </w:r>
      <w:r w:rsidRPr="00F961D8">
        <w:rPr>
          <w:lang w:val="en-GB"/>
        </w:rPr>
        <w:t>: Value Statements (All) – Strongly Agree or Agree</w:t>
      </w:r>
    </w:p>
    <w:tbl>
      <w:tblPr>
        <w:tblW w:w="8222"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1606"/>
        <w:gridCol w:w="1607"/>
        <w:gridCol w:w="1607"/>
      </w:tblGrid>
      <w:tr w:rsidR="00903323" w:rsidRPr="00501DEB" w:rsidTr="00903323">
        <w:tc>
          <w:tcPr>
            <w:tcW w:w="3402" w:type="dxa"/>
            <w:shd w:val="clear" w:color="auto" w:fill="522887"/>
          </w:tcPr>
          <w:p w:rsidR="00903323" w:rsidRPr="00501DEB" w:rsidRDefault="00903323" w:rsidP="001E3CF2">
            <w:pPr>
              <w:pStyle w:val="CCLtdNormal"/>
              <w:spacing w:before="40" w:after="40"/>
              <w:ind w:left="0"/>
              <w:rPr>
                <w:b/>
                <w:color w:val="FFFFFF"/>
                <w:lang w:val="en-GB"/>
              </w:rPr>
            </w:pPr>
            <w:r w:rsidRPr="00501DEB">
              <w:rPr>
                <w:b/>
                <w:color w:val="FFFFFF"/>
                <w:lang w:val="en-GB"/>
              </w:rPr>
              <w:t>‘Look Up…</w:t>
            </w:r>
          </w:p>
        </w:tc>
        <w:tc>
          <w:tcPr>
            <w:tcW w:w="1606" w:type="dxa"/>
            <w:shd w:val="clear" w:color="auto" w:fill="522887"/>
            <w:vAlign w:val="center"/>
          </w:tcPr>
          <w:p w:rsidR="00903323" w:rsidRPr="00501DEB" w:rsidRDefault="00903323" w:rsidP="00A90C97">
            <w:pPr>
              <w:pStyle w:val="CCLtdNormal"/>
              <w:spacing w:before="40" w:after="40"/>
              <w:ind w:left="0"/>
              <w:jc w:val="center"/>
              <w:rPr>
                <w:b/>
                <w:color w:val="FFFFFF"/>
                <w:lang w:val="en-GB"/>
              </w:rPr>
            </w:pPr>
            <w:r w:rsidRPr="00501DEB">
              <w:rPr>
                <w:b/>
                <w:color w:val="FFFFFF"/>
                <w:lang w:val="en-GB"/>
              </w:rPr>
              <w:t>Look Up</w:t>
            </w:r>
          </w:p>
          <w:p w:rsidR="00903323" w:rsidRPr="00501DEB" w:rsidRDefault="00903323" w:rsidP="00A90C97">
            <w:pPr>
              <w:pStyle w:val="CCLtdNormal"/>
              <w:spacing w:before="40" w:after="40"/>
              <w:ind w:left="0"/>
              <w:jc w:val="center"/>
              <w:rPr>
                <w:b/>
                <w:color w:val="FFFFFF"/>
                <w:lang w:val="en-GB"/>
              </w:rPr>
            </w:pPr>
            <w:r w:rsidRPr="00501DEB">
              <w:rPr>
                <w:b/>
                <w:color w:val="FFFFFF"/>
                <w:lang w:val="en-GB"/>
              </w:rPr>
              <w:t>(n=2,220)</w:t>
            </w:r>
          </w:p>
        </w:tc>
        <w:tc>
          <w:tcPr>
            <w:tcW w:w="1607" w:type="dxa"/>
            <w:shd w:val="clear" w:color="auto" w:fill="522887"/>
            <w:vAlign w:val="center"/>
          </w:tcPr>
          <w:p w:rsidR="00903323" w:rsidRPr="00501DEB" w:rsidRDefault="0057265B" w:rsidP="00A90C97">
            <w:pPr>
              <w:pStyle w:val="CCLtdNormal"/>
              <w:spacing w:before="40" w:after="40"/>
              <w:ind w:left="0"/>
              <w:jc w:val="center"/>
              <w:rPr>
                <w:b/>
                <w:color w:val="FFFFFF"/>
                <w:lang w:val="en-GB"/>
              </w:rPr>
            </w:pPr>
            <w:r>
              <w:rPr>
                <w:b/>
                <w:color w:val="FFFFFF"/>
                <w:lang w:val="en-GB"/>
              </w:rPr>
              <w:t>2016 Baseline</w:t>
            </w:r>
          </w:p>
        </w:tc>
        <w:tc>
          <w:tcPr>
            <w:tcW w:w="1607" w:type="dxa"/>
            <w:shd w:val="clear" w:color="auto" w:fill="522887"/>
            <w:vAlign w:val="center"/>
          </w:tcPr>
          <w:p w:rsidR="00903323" w:rsidRPr="00501DEB" w:rsidRDefault="0057265B" w:rsidP="00A90C97">
            <w:pPr>
              <w:pStyle w:val="CCLtdNormal"/>
              <w:spacing w:before="40" w:after="40"/>
              <w:ind w:left="0"/>
              <w:jc w:val="center"/>
              <w:rPr>
                <w:b/>
                <w:color w:val="FFFFFF"/>
                <w:lang w:val="en-GB"/>
              </w:rPr>
            </w:pPr>
            <w:r>
              <w:rPr>
                <w:b/>
                <w:color w:val="FFFFFF"/>
                <w:lang w:val="en-GB"/>
              </w:rPr>
              <w:t>All 2017 audiences</w:t>
            </w:r>
          </w:p>
        </w:tc>
      </w:tr>
      <w:tr w:rsidR="00903323" w:rsidRPr="00501DEB" w:rsidTr="00903323">
        <w:tc>
          <w:tcPr>
            <w:tcW w:w="3402" w:type="dxa"/>
            <w:shd w:val="clear" w:color="auto" w:fill="auto"/>
          </w:tcPr>
          <w:p w:rsidR="00903323" w:rsidRPr="00501DEB" w:rsidRDefault="00903323" w:rsidP="001E3CF2">
            <w:pPr>
              <w:pStyle w:val="CCLtdNormal"/>
              <w:spacing w:before="40" w:after="40"/>
              <w:ind w:left="0"/>
              <w:rPr>
                <w:lang w:val="en-GB"/>
              </w:rPr>
            </w:pPr>
            <w:r w:rsidRPr="00501DEB">
              <w:rPr>
                <w:lang w:val="en-GB"/>
              </w:rPr>
              <w:t>…gave everyone the chance to share and celebrate together’</w:t>
            </w:r>
          </w:p>
        </w:tc>
        <w:tc>
          <w:tcPr>
            <w:tcW w:w="1606" w:type="dxa"/>
            <w:shd w:val="clear" w:color="auto" w:fill="auto"/>
            <w:vAlign w:val="center"/>
          </w:tcPr>
          <w:p w:rsidR="00903323" w:rsidRPr="00501DEB" w:rsidRDefault="00903323" w:rsidP="001E3CF2">
            <w:pPr>
              <w:pStyle w:val="CCLtdNormal"/>
              <w:spacing w:before="40" w:after="40"/>
              <w:ind w:left="0"/>
              <w:jc w:val="right"/>
              <w:rPr>
                <w:lang w:val="en-GB"/>
              </w:rPr>
            </w:pPr>
            <w:r w:rsidRPr="00501DEB">
              <w:rPr>
                <w:lang w:val="en-GB"/>
              </w:rPr>
              <w:t>87%</w:t>
            </w:r>
          </w:p>
        </w:tc>
        <w:tc>
          <w:tcPr>
            <w:tcW w:w="1607" w:type="dxa"/>
            <w:vAlign w:val="center"/>
          </w:tcPr>
          <w:p w:rsidR="00903323" w:rsidRPr="00501DEB" w:rsidRDefault="008D4B4D" w:rsidP="001E3CF2">
            <w:pPr>
              <w:pStyle w:val="CCLtdNormal"/>
              <w:spacing w:before="40" w:after="40"/>
              <w:ind w:left="0"/>
              <w:jc w:val="right"/>
              <w:rPr>
                <w:lang w:val="en-GB"/>
              </w:rPr>
            </w:pPr>
            <w:r>
              <w:rPr>
                <w:lang w:val="en-GB"/>
              </w:rPr>
              <w:t>95%</w:t>
            </w:r>
          </w:p>
        </w:tc>
        <w:tc>
          <w:tcPr>
            <w:tcW w:w="1607" w:type="dxa"/>
            <w:vAlign w:val="center"/>
          </w:tcPr>
          <w:p w:rsidR="00903323" w:rsidRPr="00501DEB" w:rsidRDefault="008D4B4D" w:rsidP="001E3CF2">
            <w:pPr>
              <w:pStyle w:val="CCLtdNormal"/>
              <w:spacing w:before="40" w:after="40"/>
              <w:ind w:left="0"/>
              <w:jc w:val="right"/>
              <w:rPr>
                <w:lang w:val="en-GB"/>
              </w:rPr>
            </w:pPr>
            <w:r>
              <w:rPr>
                <w:lang w:val="en-GB"/>
              </w:rPr>
              <w:t>79%</w:t>
            </w:r>
          </w:p>
        </w:tc>
      </w:tr>
      <w:tr w:rsidR="00903323" w:rsidRPr="00501DEB" w:rsidTr="00903323">
        <w:tc>
          <w:tcPr>
            <w:tcW w:w="3402" w:type="dxa"/>
            <w:shd w:val="clear" w:color="auto" w:fill="auto"/>
          </w:tcPr>
          <w:p w:rsidR="00903323" w:rsidRPr="00501DEB" w:rsidRDefault="00903323" w:rsidP="001E3CF2">
            <w:pPr>
              <w:pStyle w:val="CCLtdNormal"/>
              <w:spacing w:before="40" w:after="40"/>
              <w:ind w:left="0"/>
              <w:rPr>
                <w:lang w:val="en-GB"/>
              </w:rPr>
            </w:pPr>
            <w:r w:rsidRPr="00501DEB">
              <w:rPr>
                <w:lang w:val="en-GB"/>
              </w:rPr>
              <w:t>…was an enjoyable experience’</w:t>
            </w:r>
          </w:p>
        </w:tc>
        <w:tc>
          <w:tcPr>
            <w:tcW w:w="1606" w:type="dxa"/>
            <w:shd w:val="clear" w:color="auto" w:fill="auto"/>
            <w:vAlign w:val="center"/>
          </w:tcPr>
          <w:p w:rsidR="00903323" w:rsidRPr="00501DEB" w:rsidRDefault="00903323" w:rsidP="001E3CF2">
            <w:pPr>
              <w:pStyle w:val="CCLtdNormal"/>
              <w:spacing w:before="40" w:after="40"/>
              <w:ind w:left="0"/>
              <w:jc w:val="right"/>
              <w:rPr>
                <w:lang w:val="en-GB"/>
              </w:rPr>
            </w:pPr>
            <w:r w:rsidRPr="00501DEB">
              <w:rPr>
                <w:lang w:val="en-GB"/>
              </w:rPr>
              <w:t>94%</w:t>
            </w:r>
          </w:p>
        </w:tc>
        <w:tc>
          <w:tcPr>
            <w:tcW w:w="1607" w:type="dxa"/>
            <w:vAlign w:val="center"/>
          </w:tcPr>
          <w:p w:rsidR="00903323" w:rsidRPr="00501DEB" w:rsidRDefault="008D4B4D" w:rsidP="001E3CF2">
            <w:pPr>
              <w:pStyle w:val="CCLtdNormal"/>
              <w:spacing w:before="40" w:after="40"/>
              <w:ind w:left="0"/>
              <w:jc w:val="right"/>
              <w:rPr>
                <w:lang w:val="en-GB"/>
              </w:rPr>
            </w:pPr>
            <w:r>
              <w:rPr>
                <w:lang w:val="en-GB"/>
              </w:rPr>
              <w:t>96%</w:t>
            </w:r>
          </w:p>
        </w:tc>
        <w:tc>
          <w:tcPr>
            <w:tcW w:w="1607" w:type="dxa"/>
            <w:vAlign w:val="center"/>
          </w:tcPr>
          <w:p w:rsidR="00903323" w:rsidRPr="00501DEB" w:rsidRDefault="008D4B4D" w:rsidP="001E3CF2">
            <w:pPr>
              <w:pStyle w:val="CCLtdNormal"/>
              <w:spacing w:before="40" w:after="40"/>
              <w:ind w:left="0"/>
              <w:jc w:val="right"/>
              <w:rPr>
                <w:lang w:val="en-GB"/>
              </w:rPr>
            </w:pPr>
            <w:r>
              <w:rPr>
                <w:lang w:val="en-GB"/>
              </w:rPr>
              <w:t>93%</w:t>
            </w:r>
          </w:p>
        </w:tc>
      </w:tr>
      <w:tr w:rsidR="00903323" w:rsidRPr="00501DEB" w:rsidTr="00903323">
        <w:tc>
          <w:tcPr>
            <w:tcW w:w="3402" w:type="dxa"/>
            <w:shd w:val="clear" w:color="auto" w:fill="auto"/>
          </w:tcPr>
          <w:p w:rsidR="00903323" w:rsidRPr="00501DEB" w:rsidRDefault="00903323" w:rsidP="001E3CF2">
            <w:pPr>
              <w:pStyle w:val="CCLtdNormal"/>
              <w:spacing w:before="40" w:after="40"/>
              <w:ind w:left="0"/>
              <w:rPr>
                <w:lang w:val="en-GB"/>
              </w:rPr>
            </w:pPr>
            <w:r w:rsidRPr="00501DEB">
              <w:rPr>
                <w:lang w:val="en-GB"/>
              </w:rPr>
              <w:t>…made me feel more connected to the stories of Hull and its people’</w:t>
            </w:r>
          </w:p>
        </w:tc>
        <w:tc>
          <w:tcPr>
            <w:tcW w:w="1606" w:type="dxa"/>
            <w:shd w:val="clear" w:color="auto" w:fill="auto"/>
            <w:vAlign w:val="center"/>
          </w:tcPr>
          <w:p w:rsidR="00903323" w:rsidRPr="00501DEB" w:rsidRDefault="00903323" w:rsidP="001E3CF2">
            <w:pPr>
              <w:pStyle w:val="CCLtdNormal"/>
              <w:spacing w:before="40" w:after="40"/>
              <w:ind w:left="0"/>
              <w:jc w:val="right"/>
              <w:rPr>
                <w:lang w:val="en-GB"/>
              </w:rPr>
            </w:pPr>
            <w:r w:rsidRPr="00501DEB">
              <w:rPr>
                <w:lang w:val="en-GB"/>
              </w:rPr>
              <w:t>67%</w:t>
            </w:r>
          </w:p>
        </w:tc>
        <w:tc>
          <w:tcPr>
            <w:tcW w:w="1607" w:type="dxa"/>
            <w:vAlign w:val="center"/>
          </w:tcPr>
          <w:p w:rsidR="00903323" w:rsidRPr="00501DEB" w:rsidRDefault="008D4B4D" w:rsidP="001E3CF2">
            <w:pPr>
              <w:pStyle w:val="CCLtdNormal"/>
              <w:spacing w:before="40" w:after="40"/>
              <w:ind w:left="0"/>
              <w:jc w:val="right"/>
              <w:rPr>
                <w:lang w:val="en-GB"/>
              </w:rPr>
            </w:pPr>
            <w:r>
              <w:rPr>
                <w:lang w:val="en-GB"/>
              </w:rPr>
              <w:t>N/A</w:t>
            </w:r>
          </w:p>
        </w:tc>
        <w:tc>
          <w:tcPr>
            <w:tcW w:w="1607" w:type="dxa"/>
            <w:vAlign w:val="center"/>
          </w:tcPr>
          <w:p w:rsidR="00903323" w:rsidRPr="00501DEB" w:rsidRDefault="008D4B4D" w:rsidP="001E3CF2">
            <w:pPr>
              <w:pStyle w:val="CCLtdNormal"/>
              <w:spacing w:before="40" w:after="40"/>
              <w:ind w:left="0"/>
              <w:jc w:val="right"/>
              <w:rPr>
                <w:lang w:val="en-GB"/>
              </w:rPr>
            </w:pPr>
            <w:r>
              <w:rPr>
                <w:lang w:val="en-GB"/>
              </w:rPr>
              <w:t>64%</w:t>
            </w:r>
          </w:p>
        </w:tc>
      </w:tr>
      <w:tr w:rsidR="00903323" w:rsidRPr="00501DEB" w:rsidTr="00903323">
        <w:tc>
          <w:tcPr>
            <w:tcW w:w="3402" w:type="dxa"/>
            <w:shd w:val="clear" w:color="auto" w:fill="auto"/>
          </w:tcPr>
          <w:p w:rsidR="00903323" w:rsidRPr="00501DEB" w:rsidRDefault="00903323" w:rsidP="001E3CF2">
            <w:pPr>
              <w:pStyle w:val="CCLtdNormal"/>
              <w:spacing w:before="40" w:after="40"/>
              <w:ind w:left="0"/>
              <w:rPr>
                <w:lang w:val="en-GB"/>
              </w:rPr>
            </w:pPr>
            <w:r w:rsidRPr="00501DEB">
              <w:rPr>
                <w:lang w:val="en-GB"/>
              </w:rPr>
              <w:t>…gave me the opportunity to interact with other people who I normally wouldn’t have interacted with’</w:t>
            </w:r>
          </w:p>
        </w:tc>
        <w:tc>
          <w:tcPr>
            <w:tcW w:w="1606" w:type="dxa"/>
            <w:shd w:val="clear" w:color="auto" w:fill="auto"/>
            <w:vAlign w:val="center"/>
          </w:tcPr>
          <w:p w:rsidR="00903323" w:rsidRPr="00501DEB" w:rsidRDefault="00903323" w:rsidP="001E3CF2">
            <w:pPr>
              <w:pStyle w:val="CCLtdNormal"/>
              <w:spacing w:before="40" w:after="40"/>
              <w:ind w:left="0"/>
              <w:jc w:val="right"/>
              <w:rPr>
                <w:lang w:val="en-GB"/>
              </w:rPr>
            </w:pPr>
            <w:r w:rsidRPr="00501DEB">
              <w:rPr>
                <w:lang w:val="en-GB"/>
              </w:rPr>
              <w:t>63%</w:t>
            </w:r>
          </w:p>
        </w:tc>
        <w:tc>
          <w:tcPr>
            <w:tcW w:w="1607" w:type="dxa"/>
            <w:vAlign w:val="center"/>
          </w:tcPr>
          <w:p w:rsidR="00903323" w:rsidRPr="00501DEB" w:rsidRDefault="008D4B4D" w:rsidP="001E3CF2">
            <w:pPr>
              <w:pStyle w:val="CCLtdNormal"/>
              <w:spacing w:before="40" w:after="40"/>
              <w:ind w:left="0"/>
              <w:jc w:val="right"/>
              <w:rPr>
                <w:lang w:val="en-GB"/>
              </w:rPr>
            </w:pPr>
            <w:r>
              <w:rPr>
                <w:lang w:val="en-GB"/>
              </w:rPr>
              <w:t>82%</w:t>
            </w:r>
          </w:p>
        </w:tc>
        <w:tc>
          <w:tcPr>
            <w:tcW w:w="1607" w:type="dxa"/>
            <w:vAlign w:val="center"/>
          </w:tcPr>
          <w:p w:rsidR="00903323" w:rsidRPr="00501DEB" w:rsidRDefault="008D4B4D" w:rsidP="001E3CF2">
            <w:pPr>
              <w:pStyle w:val="CCLtdNormal"/>
              <w:spacing w:before="40" w:after="40"/>
              <w:ind w:left="0"/>
              <w:jc w:val="right"/>
              <w:rPr>
                <w:lang w:val="en-GB"/>
              </w:rPr>
            </w:pPr>
            <w:r>
              <w:rPr>
                <w:lang w:val="en-GB"/>
              </w:rPr>
              <w:t>52%</w:t>
            </w:r>
          </w:p>
        </w:tc>
      </w:tr>
      <w:tr w:rsidR="00903323" w:rsidRPr="00501DEB" w:rsidTr="00903323">
        <w:tc>
          <w:tcPr>
            <w:tcW w:w="3402" w:type="dxa"/>
            <w:shd w:val="clear" w:color="auto" w:fill="auto"/>
          </w:tcPr>
          <w:p w:rsidR="00903323" w:rsidRPr="00501DEB" w:rsidRDefault="00903323" w:rsidP="001E3CF2">
            <w:pPr>
              <w:pStyle w:val="CCLtdNormal"/>
              <w:spacing w:before="40" w:after="40"/>
              <w:ind w:left="0"/>
              <w:rPr>
                <w:lang w:val="en-GB"/>
              </w:rPr>
            </w:pPr>
            <w:r w:rsidRPr="00501DEB">
              <w:rPr>
                <w:lang w:val="en-GB"/>
              </w:rPr>
              <w:t>…has made me think that getting involved in a project as a volunteer looks like fun’</w:t>
            </w:r>
          </w:p>
        </w:tc>
        <w:tc>
          <w:tcPr>
            <w:tcW w:w="1606" w:type="dxa"/>
            <w:shd w:val="clear" w:color="auto" w:fill="auto"/>
            <w:vAlign w:val="center"/>
          </w:tcPr>
          <w:p w:rsidR="00903323" w:rsidRPr="00501DEB" w:rsidRDefault="00903323" w:rsidP="001E3CF2">
            <w:pPr>
              <w:pStyle w:val="CCLtdNormal"/>
              <w:spacing w:before="40" w:after="40"/>
              <w:ind w:left="0"/>
              <w:jc w:val="right"/>
              <w:rPr>
                <w:lang w:val="en-GB"/>
              </w:rPr>
            </w:pPr>
            <w:r w:rsidRPr="00501DEB">
              <w:rPr>
                <w:lang w:val="en-GB"/>
              </w:rPr>
              <w:t>59%</w:t>
            </w:r>
          </w:p>
        </w:tc>
        <w:tc>
          <w:tcPr>
            <w:tcW w:w="1607" w:type="dxa"/>
            <w:vAlign w:val="center"/>
          </w:tcPr>
          <w:p w:rsidR="00903323" w:rsidRPr="008D4B4D" w:rsidRDefault="008D4B4D" w:rsidP="001E3CF2">
            <w:pPr>
              <w:pStyle w:val="CCLtdNormal"/>
              <w:spacing w:before="40" w:after="40"/>
              <w:ind w:left="0"/>
              <w:jc w:val="right"/>
              <w:rPr>
                <w:highlight w:val="yellow"/>
                <w:lang w:val="en-GB"/>
              </w:rPr>
            </w:pPr>
            <w:r w:rsidRPr="008D4B4D">
              <w:rPr>
                <w:highlight w:val="yellow"/>
                <w:lang w:val="en-GB"/>
              </w:rPr>
              <w:t>TBC</w:t>
            </w:r>
          </w:p>
        </w:tc>
        <w:tc>
          <w:tcPr>
            <w:tcW w:w="1607" w:type="dxa"/>
            <w:vAlign w:val="center"/>
          </w:tcPr>
          <w:p w:rsidR="00903323" w:rsidRPr="008D4B4D" w:rsidRDefault="008D4B4D" w:rsidP="001E3CF2">
            <w:pPr>
              <w:pStyle w:val="CCLtdNormal"/>
              <w:spacing w:before="40" w:after="40"/>
              <w:ind w:left="0"/>
              <w:jc w:val="right"/>
              <w:rPr>
                <w:highlight w:val="yellow"/>
                <w:lang w:val="en-GB"/>
              </w:rPr>
            </w:pPr>
            <w:r w:rsidRPr="008D4B4D">
              <w:rPr>
                <w:highlight w:val="yellow"/>
                <w:lang w:val="en-GB"/>
              </w:rPr>
              <w:t>TBC</w:t>
            </w:r>
          </w:p>
        </w:tc>
      </w:tr>
    </w:tbl>
    <w:p w:rsidR="0033623A" w:rsidRPr="00501DEB" w:rsidRDefault="0033623A" w:rsidP="0033623A">
      <w:pPr>
        <w:pStyle w:val="CCLtdNormal"/>
        <w:rPr>
          <w:lang w:val="en-GB"/>
        </w:rPr>
      </w:pPr>
      <w:r w:rsidRPr="00501DEB">
        <w:rPr>
          <w:lang w:val="en-GB"/>
        </w:rPr>
        <w:br/>
        <w:t xml:space="preserve">When these findings are compared with </w:t>
      </w:r>
      <w:r w:rsidR="008D4B4D">
        <w:rPr>
          <w:lang w:val="en-GB"/>
        </w:rPr>
        <w:t>the 2016 baseline and all 2017 audiences</w:t>
      </w:r>
      <w:r w:rsidRPr="00501DEB">
        <w:rPr>
          <w:lang w:val="en-GB"/>
        </w:rPr>
        <w:t>:</w:t>
      </w:r>
    </w:p>
    <w:p w:rsidR="0033623A" w:rsidRPr="00501DEB" w:rsidRDefault="0033623A" w:rsidP="004F75F5">
      <w:pPr>
        <w:pStyle w:val="CCLtdBullet1"/>
      </w:pPr>
      <w:r w:rsidRPr="00501DEB">
        <w:t>All three have scored similarly highly on being an enjoyable experience</w:t>
      </w:r>
      <w:r w:rsidR="004F75F5" w:rsidRPr="00501DEB">
        <w:t>.</w:t>
      </w:r>
    </w:p>
    <w:p w:rsidR="004F75F5" w:rsidRPr="00501DEB" w:rsidRDefault="0033623A" w:rsidP="004F75F5">
      <w:pPr>
        <w:pStyle w:val="CCLtdBullet1"/>
      </w:pPr>
      <w:r w:rsidRPr="00501DEB">
        <w:t xml:space="preserve">Look Up provided </w:t>
      </w:r>
      <w:r w:rsidR="008D4B4D">
        <w:t>significantly more</w:t>
      </w:r>
      <w:r w:rsidRPr="00501DEB">
        <w:t xml:space="preserve"> opportunity for people to share and celebrate together,</w:t>
      </w:r>
      <w:r w:rsidR="008D4B4D">
        <w:t xml:space="preserve"> compared to all Hull 2017 events and activities surveyed (+8%), whilst both scored significantly lower than the 2016 baseline events and activities (-8% and -16%, respectively)</w:t>
      </w:r>
      <w:r w:rsidRPr="00501DEB">
        <w:t>.</w:t>
      </w:r>
    </w:p>
    <w:p w:rsidR="004F75F5" w:rsidRPr="00501DEB" w:rsidRDefault="0033623A" w:rsidP="004F75F5">
      <w:pPr>
        <w:pStyle w:val="CCLtdBullet1"/>
      </w:pPr>
      <w:r w:rsidRPr="00501DEB">
        <w:t xml:space="preserve">Look Up scored significantly </w:t>
      </w:r>
      <w:r w:rsidR="008D4B4D">
        <w:t>higher</w:t>
      </w:r>
      <w:r w:rsidRPr="00501DEB">
        <w:t xml:space="preserve"> levels of agreement than </w:t>
      </w:r>
      <w:r w:rsidR="008D4B4D">
        <w:t>all 2017 audiences f</w:t>
      </w:r>
      <w:r w:rsidRPr="00501DEB">
        <w:t>or ‘…made me feel more connected to the stories of Hull and its people’</w:t>
      </w:r>
      <w:r w:rsidR="004F75F5" w:rsidRPr="00501DEB">
        <w:t>.</w:t>
      </w:r>
      <w:r w:rsidRPr="00501DEB">
        <w:t xml:space="preserve"> </w:t>
      </w:r>
    </w:p>
    <w:p w:rsidR="004F75F5" w:rsidRPr="00501DEB" w:rsidRDefault="004F75F5" w:rsidP="004F75F5">
      <w:pPr>
        <w:pStyle w:val="CCLtdBullet1"/>
      </w:pPr>
      <w:r w:rsidRPr="00501DEB">
        <w:t>Look Up scored lower levels of agreement in providing audiences the opportunity to interact with people they normally wouldn’t have interacted with</w:t>
      </w:r>
      <w:r w:rsidR="008D4B4D">
        <w:t xml:space="preserve"> than the 2016 baseline events and activities (-19%), but significantly higher than all events and activities surveyed in 2017 (+11%)</w:t>
      </w:r>
      <w:r w:rsidRPr="00501DEB">
        <w:t>.</w:t>
      </w:r>
    </w:p>
    <w:p w:rsidR="004F75F5" w:rsidRPr="008D4B4D" w:rsidRDefault="004F75F5" w:rsidP="004F75F5">
      <w:pPr>
        <w:pStyle w:val="CCLtdBullet1"/>
        <w:rPr>
          <w:highlight w:val="yellow"/>
        </w:rPr>
      </w:pPr>
      <w:r w:rsidRPr="008D4B4D">
        <w:rPr>
          <w:highlight w:val="yellow"/>
        </w:rPr>
        <w:t xml:space="preserve">Look Up scored </w:t>
      </w:r>
      <w:r w:rsidR="008D4B4D">
        <w:rPr>
          <w:highlight w:val="yellow"/>
        </w:rPr>
        <w:t>xxx</w:t>
      </w:r>
      <w:r w:rsidRPr="008D4B4D">
        <w:rPr>
          <w:highlight w:val="yellow"/>
        </w:rPr>
        <w:t>.</w:t>
      </w:r>
    </w:p>
    <w:p w:rsidR="00E52FEB" w:rsidRDefault="00E52FEB">
      <w:pPr>
        <w:spacing w:after="0"/>
        <w:rPr>
          <w:rFonts w:ascii="Trebuchet MS" w:hAnsi="Trebuchet MS"/>
          <w:lang w:val="en-GB"/>
        </w:rPr>
      </w:pPr>
      <w:r>
        <w:rPr>
          <w:lang w:val="en-GB"/>
        </w:rPr>
        <w:br w:type="page"/>
      </w:r>
    </w:p>
    <w:p w:rsidR="00440300" w:rsidRDefault="004F75F5" w:rsidP="004F75F5">
      <w:pPr>
        <w:pStyle w:val="CCLtdNormal"/>
        <w:rPr>
          <w:lang w:val="en-GB"/>
        </w:rPr>
      </w:pPr>
      <w:r w:rsidRPr="00501DEB">
        <w:rPr>
          <w:lang w:val="en-GB"/>
        </w:rPr>
        <w:lastRenderedPageBreak/>
        <w:t xml:space="preserve">These significant differences between Look Up and </w:t>
      </w:r>
      <w:r w:rsidR="00440300">
        <w:rPr>
          <w:lang w:val="en-GB"/>
        </w:rPr>
        <w:t>the 2016 baseline, in particular, are likely due to the nature of the events and activities surveyed in 2016</w:t>
      </w:r>
      <w:r w:rsidRPr="00501DEB">
        <w:rPr>
          <w:lang w:val="en-GB"/>
        </w:rPr>
        <w:t>.</w:t>
      </w:r>
      <w:r w:rsidR="00440300">
        <w:rPr>
          <w:lang w:val="en-GB"/>
        </w:rPr>
        <w:t xml:space="preserve"> </w:t>
      </w:r>
    </w:p>
    <w:p w:rsidR="004F75F5" w:rsidRPr="00501DEB" w:rsidRDefault="00440300" w:rsidP="004F75F5">
      <w:pPr>
        <w:pStyle w:val="CCLtdNormal"/>
        <w:rPr>
          <w:lang w:val="en-GB"/>
        </w:rPr>
      </w:pPr>
      <w:r>
        <w:rPr>
          <w:lang w:val="en-GB"/>
        </w:rPr>
        <w:t xml:space="preserve">Most 2016 events and activities surveyed were outdoor events and festivals, which are inherently celebratory. Many also included performance art elements and participatory activity. </w:t>
      </w:r>
    </w:p>
    <w:p w:rsidR="00181D77" w:rsidRPr="00501DEB" w:rsidRDefault="00440300" w:rsidP="004A31B6">
      <w:pPr>
        <w:pStyle w:val="CCLtdNormal"/>
        <w:rPr>
          <w:lang w:val="en-GB"/>
        </w:rPr>
      </w:pPr>
      <w:r>
        <w:rPr>
          <w:lang w:val="en-GB"/>
        </w:rPr>
        <w:t>When</w:t>
      </w:r>
      <w:r w:rsidR="00A15D03" w:rsidRPr="00501DEB">
        <w:rPr>
          <w:lang w:val="en-GB"/>
        </w:rPr>
        <w:t xml:space="preserve"> </w:t>
      </w:r>
      <w:r w:rsidR="00AB75C8" w:rsidRPr="00501DEB">
        <w:rPr>
          <w:lang w:val="en-GB"/>
        </w:rPr>
        <w:t>looking at the</w:t>
      </w:r>
      <w:r w:rsidR="00A15D03" w:rsidRPr="00501DEB">
        <w:rPr>
          <w:lang w:val="en-GB"/>
        </w:rPr>
        <w:t xml:space="preserve"> levels of agreement with different statement</w:t>
      </w:r>
      <w:r>
        <w:rPr>
          <w:lang w:val="en-GB"/>
        </w:rPr>
        <w:t>s</w:t>
      </w:r>
      <w:r w:rsidR="00A15D03" w:rsidRPr="00501DEB">
        <w:rPr>
          <w:lang w:val="en-GB"/>
        </w:rPr>
        <w:t xml:space="preserve"> by</w:t>
      </w:r>
      <w:r w:rsidR="00AB75C8" w:rsidRPr="00501DEB">
        <w:rPr>
          <w:lang w:val="en-GB"/>
        </w:rPr>
        <w:t xml:space="preserve"> individual artworks (see </w:t>
      </w:r>
      <w:r w:rsidR="00AB75C8" w:rsidRPr="00DB1FC6">
        <w:rPr>
          <w:lang w:val="en-GB"/>
        </w:rPr>
        <w:t xml:space="preserve">Table </w:t>
      </w:r>
      <w:r w:rsidR="00DB1FC6">
        <w:rPr>
          <w:lang w:val="en-GB"/>
        </w:rPr>
        <w:t>4</w:t>
      </w:r>
      <w:r w:rsidR="00E52FEB">
        <w:rPr>
          <w:lang w:val="en-GB"/>
        </w:rPr>
        <w:t>7</w:t>
      </w:r>
      <w:r w:rsidR="00AB75C8" w:rsidRPr="00501DEB">
        <w:rPr>
          <w:lang w:val="en-GB"/>
        </w:rPr>
        <w:t>):</w:t>
      </w:r>
    </w:p>
    <w:p w:rsidR="00181D77" w:rsidRPr="00501DEB" w:rsidRDefault="00181D77" w:rsidP="004F75F5">
      <w:pPr>
        <w:pStyle w:val="CCLtdBullet1"/>
      </w:pPr>
      <w:r w:rsidRPr="00501DEB">
        <w:t xml:space="preserve">Blade, </w:t>
      </w:r>
      <w:r w:rsidR="00B6107A">
        <w:t>The City Speaks</w:t>
      </w:r>
      <w:r w:rsidRPr="00501DEB">
        <w:t xml:space="preserve"> and Floe were the three artworks within the programme that gained the highest level of agreement with the statement ‘…gave everyone the chance t</w:t>
      </w:r>
      <w:r w:rsidR="00A15D03" w:rsidRPr="00501DEB">
        <w:t>o share and celebrate together’</w:t>
      </w:r>
      <w:r w:rsidR="00607349" w:rsidRPr="00501DEB">
        <w:t>. A</w:t>
      </w:r>
      <w:r w:rsidR="00A15D03" w:rsidRPr="00501DEB">
        <w:t xml:space="preserve">ll </w:t>
      </w:r>
      <w:r w:rsidR="00607349" w:rsidRPr="00501DEB">
        <w:t xml:space="preserve">three artworks </w:t>
      </w:r>
      <w:r w:rsidR="00A15D03" w:rsidRPr="00501DEB">
        <w:t xml:space="preserve">were in the public realm, large-scale works that sought to have high level impact and, in the case of </w:t>
      </w:r>
      <w:r w:rsidR="00B6107A">
        <w:t>The City Speaks</w:t>
      </w:r>
      <w:r w:rsidR="00A15D03" w:rsidRPr="00501DEB">
        <w:t>, directly share the words of participants.</w:t>
      </w:r>
      <w:r w:rsidRPr="00501DEB">
        <w:t xml:space="preserve"> </w:t>
      </w:r>
    </w:p>
    <w:p w:rsidR="00181D77" w:rsidRPr="00501DEB" w:rsidRDefault="00181D77" w:rsidP="004F75F5">
      <w:pPr>
        <w:pStyle w:val="CCLtdBullet1"/>
      </w:pPr>
      <w:r w:rsidRPr="00501DEB">
        <w:t xml:space="preserve">Blade, Paper City and Floe were the three artworks within the programme that gained the highest level of agreement with the statement ‘…was an enjoyable experience’. </w:t>
      </w:r>
      <w:r w:rsidR="00607349" w:rsidRPr="00501DEB">
        <w:t>All three artworks were in the public realm, large-scale, and with the exception of Blade, colourful. Other artworks were much subtler and more geared towards individual thought-provoking experience.</w:t>
      </w:r>
    </w:p>
    <w:p w:rsidR="00181D77" w:rsidRPr="00501DEB" w:rsidRDefault="00181D77" w:rsidP="004F75F5">
      <w:pPr>
        <w:pStyle w:val="CCLtdBullet1"/>
      </w:pPr>
      <w:r w:rsidRPr="00501DEB">
        <w:t xml:space="preserve">The Train Track and The Basket </w:t>
      </w:r>
      <w:r w:rsidR="00A15D03" w:rsidRPr="00501DEB">
        <w:t xml:space="preserve">and Paper City </w:t>
      </w:r>
      <w:r w:rsidRPr="00501DEB">
        <w:t>were the two artworks within the programme that gained the highest level of agreement with the statement ‘…made me feel more connected to the stories of Hull and its people’.</w:t>
      </w:r>
      <w:r w:rsidR="00A15D03" w:rsidRPr="00501DEB">
        <w:t xml:space="preserve"> Both had interpretation linked to telling distinct stories about transmigration and G.F Smith.</w:t>
      </w:r>
    </w:p>
    <w:p w:rsidR="00181D77" w:rsidRPr="00501DEB" w:rsidRDefault="00181D77" w:rsidP="004F75F5">
      <w:pPr>
        <w:pStyle w:val="CCLtdBullet1"/>
      </w:pPr>
      <w:r w:rsidRPr="00501DEB">
        <w:t xml:space="preserve">Paper City and A Hall for Hull were the two artworks within the programme that gained the highest level of agreement with the statement ‘…gave me the opportunity to interact with other people who I normally wouldn’t have interacted with’. </w:t>
      </w:r>
      <w:r w:rsidR="00607349" w:rsidRPr="00501DEB">
        <w:t>Both artworks sought to encourage play, interaction and exploration.</w:t>
      </w:r>
    </w:p>
    <w:p w:rsidR="001E3CF2" w:rsidRPr="00501DEB" w:rsidRDefault="001E3CF2" w:rsidP="004F75F5">
      <w:pPr>
        <w:pStyle w:val="CCLtdBullet1"/>
        <w:sectPr w:rsidR="001E3CF2" w:rsidRPr="00501DEB" w:rsidSect="00E52FEB">
          <w:headerReference w:type="default" r:id="rId7"/>
          <w:footerReference w:type="even" r:id="rId8"/>
          <w:footerReference w:type="default" r:id="rId9"/>
          <w:pgSz w:w="11900" w:h="16840"/>
          <w:pgMar w:top="1531" w:right="1418" w:bottom="1418" w:left="1418" w:header="709" w:footer="709" w:gutter="0"/>
          <w:pgNumType w:start="114"/>
          <w:cols w:space="708"/>
        </w:sectPr>
      </w:pPr>
    </w:p>
    <w:p w:rsidR="001E3CF2" w:rsidRPr="00501DEB" w:rsidRDefault="00DB1FC6" w:rsidP="001E3CF2">
      <w:pPr>
        <w:pStyle w:val="CCLtdTableTitle"/>
        <w:ind w:hanging="1077"/>
        <w:rPr>
          <w:lang w:val="en-GB"/>
        </w:rPr>
      </w:pPr>
      <w:r w:rsidRPr="00DB1FC6">
        <w:rPr>
          <w:lang w:val="en-GB"/>
        </w:rPr>
        <w:lastRenderedPageBreak/>
        <w:t>Table 4</w:t>
      </w:r>
      <w:r w:rsidR="00E52FEB">
        <w:rPr>
          <w:lang w:val="en-GB"/>
        </w:rPr>
        <w:t>7</w:t>
      </w:r>
      <w:r w:rsidR="001E3CF2" w:rsidRPr="00501DEB">
        <w:rPr>
          <w:lang w:val="en-GB"/>
        </w:rPr>
        <w:t>: Value Statements (All) – Strongly Agree or Agree</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992"/>
        <w:gridCol w:w="992"/>
        <w:gridCol w:w="992"/>
        <w:gridCol w:w="993"/>
        <w:gridCol w:w="992"/>
        <w:gridCol w:w="992"/>
        <w:gridCol w:w="992"/>
        <w:gridCol w:w="993"/>
        <w:gridCol w:w="992"/>
        <w:gridCol w:w="992"/>
        <w:gridCol w:w="993"/>
      </w:tblGrid>
      <w:tr w:rsidR="001E3CF2" w:rsidRPr="00501DEB">
        <w:trPr>
          <w:cantSplit/>
          <w:trHeight w:val="2716"/>
          <w:tblHeader/>
        </w:trPr>
        <w:tc>
          <w:tcPr>
            <w:tcW w:w="3402" w:type="dxa"/>
            <w:shd w:val="clear" w:color="auto" w:fill="522887"/>
            <w:noWrap/>
            <w:vAlign w:val="center"/>
          </w:tcPr>
          <w:p w:rsidR="001E3CF2" w:rsidRPr="00501DEB" w:rsidRDefault="001E3CF2" w:rsidP="001E3CF2">
            <w:pPr>
              <w:pStyle w:val="CCLtdTableHeader"/>
              <w:spacing w:before="40" w:after="40"/>
              <w:rPr>
                <w:color w:val="FFFFFF"/>
                <w:lang w:val="en-GB" w:eastAsia="en-GB"/>
              </w:rPr>
            </w:pPr>
            <w:r w:rsidRPr="00501DEB">
              <w:rPr>
                <w:color w:val="FFFFFF"/>
                <w:lang w:val="en-GB" w:eastAsia="en-GB"/>
              </w:rPr>
              <w:t>Value Statement</w:t>
            </w:r>
          </w:p>
        </w:tc>
        <w:tc>
          <w:tcPr>
            <w:tcW w:w="992" w:type="dxa"/>
            <w:shd w:val="clear" w:color="auto" w:fill="522887"/>
            <w:noWrap/>
            <w:textDirection w:val="tbRl"/>
            <w:vAlign w:val="center"/>
          </w:tcPr>
          <w:p w:rsidR="001E3CF2" w:rsidRPr="00501DEB" w:rsidRDefault="001E3CF2" w:rsidP="001E3CF2">
            <w:pPr>
              <w:pStyle w:val="CCLtdTableHeader"/>
              <w:spacing w:before="40" w:after="40"/>
              <w:jc w:val="center"/>
              <w:rPr>
                <w:color w:val="FFFFFF"/>
                <w:lang w:val="en-GB" w:eastAsia="en-GB"/>
              </w:rPr>
            </w:pPr>
            <w:r w:rsidRPr="00501DEB">
              <w:rPr>
                <w:color w:val="FFFFFF"/>
                <w:lang w:val="en-GB" w:eastAsia="en-GB"/>
              </w:rPr>
              <w:t>Blade</w:t>
            </w:r>
          </w:p>
        </w:tc>
        <w:tc>
          <w:tcPr>
            <w:tcW w:w="992" w:type="dxa"/>
            <w:shd w:val="clear" w:color="auto" w:fill="522887"/>
            <w:noWrap/>
            <w:textDirection w:val="tbRl"/>
            <w:vAlign w:val="center"/>
          </w:tcPr>
          <w:p w:rsidR="001E3CF2" w:rsidRPr="00501DEB" w:rsidRDefault="00B6107A" w:rsidP="001E3CF2">
            <w:pPr>
              <w:pStyle w:val="CCLtdTableHeader"/>
              <w:spacing w:before="40" w:after="40"/>
              <w:jc w:val="center"/>
              <w:rPr>
                <w:color w:val="FFFFFF"/>
                <w:lang w:val="en-GB" w:eastAsia="en-GB"/>
              </w:rPr>
            </w:pPr>
            <w:r>
              <w:rPr>
                <w:color w:val="FFFFFF"/>
                <w:lang w:val="en-GB" w:eastAsia="en-GB"/>
              </w:rPr>
              <w:t>The City Speaks</w:t>
            </w:r>
          </w:p>
        </w:tc>
        <w:tc>
          <w:tcPr>
            <w:tcW w:w="992" w:type="dxa"/>
            <w:shd w:val="clear" w:color="auto" w:fill="522887"/>
            <w:textDirection w:val="tbRl"/>
            <w:vAlign w:val="center"/>
          </w:tcPr>
          <w:p w:rsidR="001E3CF2" w:rsidRPr="00501DEB" w:rsidRDefault="001E3CF2" w:rsidP="001E3CF2">
            <w:pPr>
              <w:pStyle w:val="CCLtdTableHeader"/>
              <w:spacing w:before="40" w:after="40"/>
              <w:jc w:val="center"/>
              <w:rPr>
                <w:color w:val="FFFFFF"/>
                <w:lang w:val="en-GB" w:eastAsia="en-GB"/>
              </w:rPr>
            </w:pPr>
            <w:r w:rsidRPr="00501DEB">
              <w:rPr>
                <w:color w:val="FFFFFF"/>
                <w:lang w:val="en-GB" w:eastAsia="en-GB"/>
              </w:rPr>
              <w:t>Washed Up Car-go</w:t>
            </w:r>
          </w:p>
        </w:tc>
        <w:tc>
          <w:tcPr>
            <w:tcW w:w="993" w:type="dxa"/>
            <w:shd w:val="clear" w:color="auto" w:fill="522887"/>
            <w:textDirection w:val="tbRl"/>
            <w:vAlign w:val="center"/>
          </w:tcPr>
          <w:p w:rsidR="001E3CF2" w:rsidRPr="00501DEB" w:rsidRDefault="001E3CF2" w:rsidP="001E3CF2">
            <w:pPr>
              <w:pStyle w:val="CCLtdTableHeader"/>
              <w:spacing w:before="40" w:after="40"/>
              <w:jc w:val="center"/>
              <w:rPr>
                <w:color w:val="FFFFFF"/>
                <w:lang w:val="en-GB" w:eastAsia="en-GB"/>
              </w:rPr>
            </w:pPr>
            <w:r w:rsidRPr="00501DEB">
              <w:rPr>
                <w:color w:val="FFFFFF"/>
                <w:lang w:val="en-GB" w:eastAsia="en-GB"/>
              </w:rPr>
              <w:t>The Train Track and The Basket</w:t>
            </w:r>
          </w:p>
        </w:tc>
        <w:tc>
          <w:tcPr>
            <w:tcW w:w="992" w:type="dxa"/>
            <w:shd w:val="clear" w:color="auto" w:fill="522887"/>
            <w:textDirection w:val="tbRl"/>
            <w:vAlign w:val="center"/>
          </w:tcPr>
          <w:p w:rsidR="001E3CF2" w:rsidRPr="00501DEB" w:rsidRDefault="001E3CF2" w:rsidP="001E3CF2">
            <w:pPr>
              <w:pStyle w:val="CCLtdTableHeader"/>
              <w:spacing w:before="40" w:after="40"/>
              <w:jc w:val="center"/>
              <w:rPr>
                <w:color w:val="FFFFFF"/>
                <w:lang w:val="en-GB" w:eastAsia="en-GB"/>
              </w:rPr>
            </w:pPr>
            <w:r w:rsidRPr="00501DEB">
              <w:rPr>
                <w:color w:val="FFFFFF"/>
                <w:lang w:val="en-GB" w:eastAsia="en-GB"/>
              </w:rPr>
              <w:t>Paper City</w:t>
            </w:r>
          </w:p>
        </w:tc>
        <w:tc>
          <w:tcPr>
            <w:tcW w:w="992" w:type="dxa"/>
            <w:shd w:val="clear" w:color="auto" w:fill="522887"/>
            <w:textDirection w:val="tbRl"/>
            <w:vAlign w:val="center"/>
          </w:tcPr>
          <w:p w:rsidR="001E3CF2" w:rsidRPr="00501DEB" w:rsidRDefault="001E3CF2" w:rsidP="001E3CF2">
            <w:pPr>
              <w:pStyle w:val="CCLtdTableHeader"/>
              <w:spacing w:before="40" w:after="40"/>
              <w:jc w:val="center"/>
              <w:rPr>
                <w:color w:val="FFFFFF"/>
                <w:lang w:val="en-GB" w:eastAsia="en-GB"/>
              </w:rPr>
            </w:pPr>
            <w:r w:rsidRPr="00501DEB">
              <w:rPr>
                <w:color w:val="FFFFFF"/>
                <w:lang w:val="en-GB" w:eastAsia="en-GB"/>
              </w:rPr>
              <w:t>Bleached</w:t>
            </w:r>
          </w:p>
        </w:tc>
        <w:tc>
          <w:tcPr>
            <w:tcW w:w="992" w:type="dxa"/>
            <w:shd w:val="clear" w:color="auto" w:fill="522887"/>
            <w:textDirection w:val="tbRl"/>
            <w:vAlign w:val="center"/>
          </w:tcPr>
          <w:p w:rsidR="001E3CF2" w:rsidRPr="00501DEB" w:rsidRDefault="001E3CF2" w:rsidP="001E3CF2">
            <w:pPr>
              <w:pStyle w:val="CCLtdTableHeader"/>
              <w:spacing w:before="40" w:after="40"/>
              <w:jc w:val="center"/>
              <w:rPr>
                <w:color w:val="FFFFFF"/>
                <w:lang w:val="en-GB" w:eastAsia="en-GB"/>
              </w:rPr>
            </w:pPr>
            <w:r w:rsidRPr="00501DEB">
              <w:rPr>
                <w:color w:val="FFFFFF"/>
                <w:lang w:val="en-GB" w:eastAsia="en-GB"/>
              </w:rPr>
              <w:t>This is a Freedom of Expression Centre</w:t>
            </w:r>
          </w:p>
        </w:tc>
        <w:tc>
          <w:tcPr>
            <w:tcW w:w="993" w:type="dxa"/>
            <w:shd w:val="clear" w:color="auto" w:fill="522887"/>
            <w:textDirection w:val="tbRl"/>
            <w:vAlign w:val="center"/>
          </w:tcPr>
          <w:p w:rsidR="001E3CF2" w:rsidRPr="00501DEB" w:rsidRDefault="001E3CF2" w:rsidP="001E3CF2">
            <w:pPr>
              <w:pStyle w:val="CCLtdTableHeader"/>
              <w:spacing w:before="40" w:after="40"/>
              <w:jc w:val="center"/>
              <w:rPr>
                <w:color w:val="FFFFFF"/>
                <w:lang w:val="en-GB" w:eastAsia="en-GB"/>
              </w:rPr>
            </w:pPr>
            <w:r w:rsidRPr="00501DEB">
              <w:rPr>
                <w:color w:val="FFFFFF"/>
                <w:lang w:val="en-GB" w:eastAsia="en-GB"/>
              </w:rPr>
              <w:t>Elephant in the Room</w:t>
            </w:r>
          </w:p>
        </w:tc>
        <w:tc>
          <w:tcPr>
            <w:tcW w:w="992" w:type="dxa"/>
            <w:shd w:val="clear" w:color="auto" w:fill="522887"/>
            <w:textDirection w:val="tbRl"/>
            <w:vAlign w:val="center"/>
          </w:tcPr>
          <w:p w:rsidR="001E3CF2" w:rsidRPr="00501DEB" w:rsidRDefault="001E3CF2" w:rsidP="001E3CF2">
            <w:pPr>
              <w:pStyle w:val="CCLtdTableHeader"/>
              <w:spacing w:before="40" w:after="40"/>
              <w:jc w:val="center"/>
              <w:rPr>
                <w:color w:val="FFFFFF"/>
                <w:lang w:val="en-GB" w:eastAsia="en-GB"/>
              </w:rPr>
            </w:pPr>
            <w:r w:rsidRPr="00501DEB">
              <w:rPr>
                <w:color w:val="FFFFFF"/>
                <w:lang w:val="en-GB" w:eastAsia="en-GB"/>
              </w:rPr>
              <w:t>A Hall for Hull</w:t>
            </w:r>
          </w:p>
        </w:tc>
        <w:tc>
          <w:tcPr>
            <w:tcW w:w="992" w:type="dxa"/>
            <w:shd w:val="clear" w:color="auto" w:fill="522887"/>
            <w:textDirection w:val="tbRl"/>
            <w:vAlign w:val="center"/>
          </w:tcPr>
          <w:p w:rsidR="001E3CF2" w:rsidRPr="00501DEB" w:rsidRDefault="001E3CF2" w:rsidP="001E3CF2">
            <w:pPr>
              <w:pStyle w:val="CCLtdTableHeader"/>
              <w:spacing w:before="40" w:after="40"/>
              <w:jc w:val="center"/>
              <w:rPr>
                <w:color w:val="FFFFFF"/>
                <w:lang w:val="en-GB" w:eastAsia="en-GB"/>
              </w:rPr>
            </w:pPr>
            <w:r w:rsidRPr="00501DEB">
              <w:rPr>
                <w:color w:val="FFFFFF"/>
                <w:lang w:val="en-GB" w:eastAsia="en-GB"/>
              </w:rPr>
              <w:t xml:space="preserve"> Floe</w:t>
            </w:r>
          </w:p>
        </w:tc>
        <w:tc>
          <w:tcPr>
            <w:tcW w:w="993" w:type="dxa"/>
            <w:shd w:val="clear" w:color="auto" w:fill="522887"/>
            <w:textDirection w:val="tbRl"/>
            <w:vAlign w:val="center"/>
          </w:tcPr>
          <w:p w:rsidR="001E3CF2" w:rsidRPr="00501DEB" w:rsidRDefault="001E3CF2" w:rsidP="001E3CF2">
            <w:pPr>
              <w:pStyle w:val="CCLtdTableHeader"/>
              <w:spacing w:before="40" w:after="40"/>
              <w:jc w:val="center"/>
              <w:rPr>
                <w:color w:val="FFFFFF"/>
                <w:lang w:val="en-GB" w:eastAsia="en-GB"/>
              </w:rPr>
            </w:pPr>
            <w:r w:rsidRPr="00501DEB">
              <w:rPr>
                <w:color w:val="FFFFFF"/>
                <w:lang w:val="en-GB" w:eastAsia="en-GB"/>
              </w:rPr>
              <w:t>AVERAGE OVERALL</w:t>
            </w:r>
          </w:p>
        </w:tc>
      </w:tr>
      <w:tr w:rsidR="001E3CF2" w:rsidRPr="00501DEB">
        <w:trPr>
          <w:trHeight w:val="315"/>
          <w:tblHeader/>
        </w:trPr>
        <w:tc>
          <w:tcPr>
            <w:tcW w:w="3402" w:type="dxa"/>
            <w:shd w:val="clear" w:color="auto" w:fill="auto"/>
            <w:noWrap/>
          </w:tcPr>
          <w:p w:rsidR="001E3CF2" w:rsidRPr="00501DEB" w:rsidRDefault="001E3CF2" w:rsidP="001E3CF2">
            <w:pPr>
              <w:pStyle w:val="CCLtdNormal"/>
              <w:spacing w:before="40" w:after="40"/>
              <w:ind w:left="0"/>
              <w:rPr>
                <w:lang w:val="en-GB"/>
              </w:rPr>
            </w:pPr>
            <w:r w:rsidRPr="00501DEB">
              <w:rPr>
                <w:lang w:val="en-GB"/>
              </w:rPr>
              <w:t>…gave everyone the chance to share and celebrate together’</w:t>
            </w:r>
          </w:p>
        </w:tc>
        <w:tc>
          <w:tcPr>
            <w:tcW w:w="992" w:type="dxa"/>
            <w:shd w:val="clear" w:color="auto" w:fill="auto"/>
            <w:noWrap/>
            <w:vAlign w:val="center"/>
          </w:tcPr>
          <w:p w:rsidR="001E3CF2" w:rsidRPr="00501DEB" w:rsidRDefault="001E3CF2" w:rsidP="001E3CF2">
            <w:pPr>
              <w:pStyle w:val="CCLtdTableNormal"/>
              <w:spacing w:before="40" w:after="40"/>
              <w:ind w:left="0"/>
              <w:jc w:val="right"/>
              <w:rPr>
                <w:lang w:val="en-GB" w:eastAsia="en-GB"/>
              </w:rPr>
            </w:pPr>
            <w:r w:rsidRPr="00501DEB">
              <w:rPr>
                <w:lang w:val="en-GB" w:eastAsia="en-GB"/>
              </w:rPr>
              <w:t>89%</w:t>
            </w:r>
          </w:p>
        </w:tc>
        <w:tc>
          <w:tcPr>
            <w:tcW w:w="992" w:type="dxa"/>
            <w:shd w:val="clear" w:color="auto" w:fill="auto"/>
            <w:noWrap/>
            <w:vAlign w:val="center"/>
          </w:tcPr>
          <w:p w:rsidR="001E3CF2" w:rsidRPr="00501DEB" w:rsidRDefault="001E3CF2" w:rsidP="001E3CF2">
            <w:pPr>
              <w:pStyle w:val="CCLtdTableNormal"/>
              <w:spacing w:before="40" w:after="40"/>
              <w:ind w:left="0"/>
              <w:jc w:val="right"/>
              <w:rPr>
                <w:lang w:val="en-GB" w:eastAsia="en-GB"/>
              </w:rPr>
            </w:pPr>
            <w:r w:rsidRPr="00501DEB">
              <w:rPr>
                <w:lang w:val="en-GB" w:eastAsia="en-GB"/>
              </w:rPr>
              <w:t>83%</w:t>
            </w:r>
          </w:p>
        </w:tc>
        <w:tc>
          <w:tcPr>
            <w:tcW w:w="992" w:type="dxa"/>
            <w:vAlign w:val="center"/>
          </w:tcPr>
          <w:p w:rsidR="001E3CF2" w:rsidRPr="00501DEB" w:rsidRDefault="001E3CF2" w:rsidP="001E3CF2">
            <w:pPr>
              <w:pStyle w:val="CCLtdTableNormal"/>
              <w:spacing w:before="40" w:after="40"/>
              <w:ind w:left="0"/>
              <w:jc w:val="right"/>
              <w:rPr>
                <w:lang w:val="en-GB" w:eastAsia="en-GB"/>
              </w:rPr>
            </w:pPr>
            <w:r w:rsidRPr="00501DEB">
              <w:rPr>
                <w:lang w:val="en-GB" w:eastAsia="en-GB"/>
              </w:rPr>
              <w:t>-</w:t>
            </w:r>
          </w:p>
        </w:tc>
        <w:tc>
          <w:tcPr>
            <w:tcW w:w="993" w:type="dxa"/>
            <w:vAlign w:val="center"/>
          </w:tcPr>
          <w:p w:rsidR="001E3CF2" w:rsidRPr="00501DEB" w:rsidRDefault="001E3CF2" w:rsidP="001E3CF2">
            <w:pPr>
              <w:pStyle w:val="CCLtdTableNormal"/>
              <w:spacing w:before="40" w:after="40"/>
              <w:ind w:left="0"/>
              <w:jc w:val="right"/>
              <w:rPr>
                <w:lang w:val="en-GB" w:eastAsia="en-GB"/>
              </w:rPr>
            </w:pPr>
            <w:r w:rsidRPr="00501DEB">
              <w:rPr>
                <w:lang w:val="en-GB" w:eastAsia="en-GB"/>
              </w:rPr>
              <w:t>-</w:t>
            </w:r>
          </w:p>
        </w:tc>
        <w:tc>
          <w:tcPr>
            <w:tcW w:w="992" w:type="dxa"/>
            <w:vAlign w:val="center"/>
          </w:tcPr>
          <w:p w:rsidR="001E3CF2" w:rsidRPr="00501DEB" w:rsidRDefault="001E3CF2" w:rsidP="001E3CF2">
            <w:pPr>
              <w:pStyle w:val="CCLtdTableNormal"/>
              <w:spacing w:before="40" w:after="40"/>
              <w:ind w:left="0"/>
              <w:jc w:val="right"/>
              <w:rPr>
                <w:lang w:val="en-GB"/>
              </w:rPr>
            </w:pPr>
            <w:r w:rsidRPr="00501DEB">
              <w:rPr>
                <w:lang w:val="en-GB"/>
              </w:rPr>
              <w:t>76%</w:t>
            </w:r>
          </w:p>
        </w:tc>
        <w:tc>
          <w:tcPr>
            <w:tcW w:w="992" w:type="dxa"/>
            <w:vAlign w:val="center"/>
          </w:tcPr>
          <w:p w:rsidR="001E3CF2" w:rsidRPr="00501DEB" w:rsidRDefault="001E3CF2" w:rsidP="001E3CF2">
            <w:pPr>
              <w:pStyle w:val="CCLtdTableNormal"/>
              <w:spacing w:before="40" w:after="40"/>
              <w:ind w:left="0"/>
              <w:jc w:val="right"/>
              <w:rPr>
                <w:lang w:val="en-GB"/>
              </w:rPr>
            </w:pPr>
            <w:r w:rsidRPr="00501DEB">
              <w:rPr>
                <w:lang w:val="en-GB"/>
              </w:rPr>
              <w:t>-</w:t>
            </w:r>
          </w:p>
        </w:tc>
        <w:tc>
          <w:tcPr>
            <w:tcW w:w="992" w:type="dxa"/>
            <w:vAlign w:val="center"/>
          </w:tcPr>
          <w:p w:rsidR="001E3CF2" w:rsidRPr="00501DEB" w:rsidRDefault="001E3CF2" w:rsidP="001E3CF2">
            <w:pPr>
              <w:pStyle w:val="CCLtdTableNormal"/>
              <w:spacing w:before="40" w:after="40"/>
              <w:ind w:left="0"/>
              <w:jc w:val="right"/>
              <w:rPr>
                <w:lang w:val="en-GB"/>
              </w:rPr>
            </w:pPr>
            <w:r w:rsidRPr="00501DEB">
              <w:rPr>
                <w:lang w:val="en-GB"/>
              </w:rPr>
              <w:t>79%</w:t>
            </w:r>
          </w:p>
        </w:tc>
        <w:tc>
          <w:tcPr>
            <w:tcW w:w="993" w:type="dxa"/>
            <w:vAlign w:val="center"/>
          </w:tcPr>
          <w:p w:rsidR="001E3CF2" w:rsidRPr="00501DEB" w:rsidRDefault="001E3CF2" w:rsidP="001E3CF2">
            <w:pPr>
              <w:pStyle w:val="CCLtdTableNormal"/>
              <w:spacing w:before="40" w:after="40"/>
              <w:ind w:left="0"/>
              <w:jc w:val="right"/>
              <w:rPr>
                <w:lang w:val="en-GB"/>
              </w:rPr>
            </w:pPr>
            <w:r w:rsidRPr="00501DEB">
              <w:rPr>
                <w:lang w:val="en-GB"/>
              </w:rPr>
              <w:t>-</w:t>
            </w:r>
          </w:p>
        </w:tc>
        <w:tc>
          <w:tcPr>
            <w:tcW w:w="992" w:type="dxa"/>
            <w:vAlign w:val="center"/>
          </w:tcPr>
          <w:p w:rsidR="001E3CF2" w:rsidRPr="00501DEB" w:rsidRDefault="001E3CF2" w:rsidP="001E3CF2">
            <w:pPr>
              <w:pStyle w:val="CCLtdTableNormal"/>
              <w:spacing w:before="40" w:after="40"/>
              <w:ind w:left="0"/>
              <w:jc w:val="right"/>
              <w:rPr>
                <w:lang w:val="en-GB"/>
              </w:rPr>
            </w:pPr>
            <w:r w:rsidRPr="00501DEB">
              <w:rPr>
                <w:lang w:val="en-GB"/>
              </w:rPr>
              <w:t>74%</w:t>
            </w:r>
          </w:p>
        </w:tc>
        <w:tc>
          <w:tcPr>
            <w:tcW w:w="992" w:type="dxa"/>
            <w:vAlign w:val="center"/>
          </w:tcPr>
          <w:p w:rsidR="001E3CF2" w:rsidRPr="00501DEB" w:rsidRDefault="001E3CF2" w:rsidP="001E3CF2">
            <w:pPr>
              <w:pStyle w:val="CCLtdTableNormal"/>
              <w:spacing w:before="40" w:after="40"/>
              <w:ind w:left="0"/>
              <w:jc w:val="right"/>
              <w:rPr>
                <w:lang w:val="en-GB" w:eastAsia="en-GB"/>
              </w:rPr>
            </w:pPr>
            <w:r w:rsidRPr="00501DEB">
              <w:rPr>
                <w:lang w:val="en-GB" w:eastAsia="en-GB"/>
              </w:rPr>
              <w:t>83%</w:t>
            </w:r>
          </w:p>
        </w:tc>
        <w:tc>
          <w:tcPr>
            <w:tcW w:w="993" w:type="dxa"/>
            <w:vAlign w:val="center"/>
          </w:tcPr>
          <w:p w:rsidR="001E3CF2" w:rsidRPr="00501DEB" w:rsidRDefault="001E3CF2" w:rsidP="001E3CF2">
            <w:pPr>
              <w:spacing w:before="40" w:after="40"/>
              <w:jc w:val="right"/>
              <w:rPr>
                <w:rFonts w:ascii="Trebuchet MS" w:hAnsi="Trebuchet MS"/>
                <w:lang w:val="en-GB"/>
              </w:rPr>
            </w:pPr>
            <w:r w:rsidRPr="00501DEB">
              <w:rPr>
                <w:rFonts w:ascii="Trebuchet MS" w:hAnsi="Trebuchet MS"/>
                <w:lang w:val="en-GB"/>
              </w:rPr>
              <w:t>87%</w:t>
            </w:r>
          </w:p>
        </w:tc>
      </w:tr>
      <w:tr w:rsidR="001E3CF2" w:rsidRPr="00501DEB">
        <w:trPr>
          <w:trHeight w:val="315"/>
          <w:tblHeader/>
        </w:trPr>
        <w:tc>
          <w:tcPr>
            <w:tcW w:w="3402" w:type="dxa"/>
            <w:shd w:val="clear" w:color="auto" w:fill="auto"/>
            <w:noWrap/>
          </w:tcPr>
          <w:p w:rsidR="001E3CF2" w:rsidRPr="00501DEB" w:rsidRDefault="001E3CF2" w:rsidP="001E3CF2">
            <w:pPr>
              <w:pStyle w:val="CCLtdNormal"/>
              <w:spacing w:before="40" w:after="40"/>
              <w:ind w:left="0"/>
              <w:rPr>
                <w:lang w:val="en-GB"/>
              </w:rPr>
            </w:pPr>
            <w:r w:rsidRPr="00501DEB">
              <w:rPr>
                <w:lang w:val="en-GB"/>
              </w:rPr>
              <w:t>…was an enjoyable experience’</w:t>
            </w:r>
          </w:p>
        </w:tc>
        <w:tc>
          <w:tcPr>
            <w:tcW w:w="992" w:type="dxa"/>
            <w:shd w:val="clear" w:color="auto" w:fill="auto"/>
            <w:noWrap/>
            <w:vAlign w:val="center"/>
          </w:tcPr>
          <w:p w:rsidR="001E3CF2" w:rsidRPr="00501DEB" w:rsidRDefault="001E3CF2" w:rsidP="001E3CF2">
            <w:pPr>
              <w:pStyle w:val="CCLtdTableNormal"/>
              <w:spacing w:before="40" w:after="40"/>
              <w:ind w:left="0"/>
              <w:jc w:val="right"/>
              <w:rPr>
                <w:lang w:val="en-GB" w:eastAsia="en-GB"/>
              </w:rPr>
            </w:pPr>
            <w:r w:rsidRPr="00501DEB">
              <w:rPr>
                <w:lang w:val="en-GB" w:eastAsia="en-GB"/>
              </w:rPr>
              <w:t>96%</w:t>
            </w:r>
          </w:p>
        </w:tc>
        <w:tc>
          <w:tcPr>
            <w:tcW w:w="992" w:type="dxa"/>
            <w:shd w:val="clear" w:color="auto" w:fill="auto"/>
            <w:noWrap/>
            <w:vAlign w:val="center"/>
          </w:tcPr>
          <w:p w:rsidR="001E3CF2" w:rsidRPr="00501DEB" w:rsidRDefault="001E3CF2" w:rsidP="001E3CF2">
            <w:pPr>
              <w:pStyle w:val="CCLtdTableNormal"/>
              <w:spacing w:before="40" w:after="40"/>
              <w:ind w:left="0"/>
              <w:jc w:val="right"/>
              <w:rPr>
                <w:lang w:val="en-GB" w:eastAsia="en-GB"/>
              </w:rPr>
            </w:pPr>
            <w:r w:rsidRPr="00501DEB">
              <w:rPr>
                <w:lang w:val="en-GB" w:eastAsia="en-GB"/>
              </w:rPr>
              <w:t>92%</w:t>
            </w:r>
          </w:p>
        </w:tc>
        <w:tc>
          <w:tcPr>
            <w:tcW w:w="992" w:type="dxa"/>
            <w:vAlign w:val="center"/>
          </w:tcPr>
          <w:p w:rsidR="001E3CF2" w:rsidRPr="00501DEB" w:rsidRDefault="001E3CF2" w:rsidP="001E3CF2">
            <w:pPr>
              <w:pStyle w:val="CCLtdTableNormal"/>
              <w:spacing w:before="40" w:after="40"/>
              <w:ind w:left="0"/>
              <w:jc w:val="right"/>
              <w:rPr>
                <w:lang w:val="en-GB" w:eastAsia="en-GB"/>
              </w:rPr>
            </w:pPr>
            <w:r w:rsidRPr="00501DEB">
              <w:rPr>
                <w:lang w:val="en-GB" w:eastAsia="en-GB"/>
              </w:rPr>
              <w:t>81%</w:t>
            </w:r>
          </w:p>
        </w:tc>
        <w:tc>
          <w:tcPr>
            <w:tcW w:w="993" w:type="dxa"/>
            <w:vAlign w:val="center"/>
          </w:tcPr>
          <w:p w:rsidR="001E3CF2" w:rsidRPr="00501DEB" w:rsidRDefault="001E3CF2" w:rsidP="001E3CF2">
            <w:pPr>
              <w:pStyle w:val="CCLtdTableNormal"/>
              <w:spacing w:before="40" w:after="40"/>
              <w:ind w:left="0"/>
              <w:jc w:val="right"/>
              <w:rPr>
                <w:lang w:val="en-GB" w:eastAsia="en-GB"/>
              </w:rPr>
            </w:pPr>
            <w:r w:rsidRPr="00501DEB">
              <w:rPr>
                <w:lang w:val="en-GB" w:eastAsia="en-GB"/>
              </w:rPr>
              <w:t>87%</w:t>
            </w:r>
          </w:p>
        </w:tc>
        <w:tc>
          <w:tcPr>
            <w:tcW w:w="992" w:type="dxa"/>
            <w:vAlign w:val="center"/>
          </w:tcPr>
          <w:p w:rsidR="001E3CF2" w:rsidRPr="00501DEB" w:rsidRDefault="001E3CF2" w:rsidP="001E3CF2">
            <w:pPr>
              <w:pStyle w:val="CCLtdTableNormal"/>
              <w:spacing w:before="40" w:after="40"/>
              <w:ind w:left="0"/>
              <w:jc w:val="right"/>
              <w:rPr>
                <w:lang w:val="en-GB"/>
              </w:rPr>
            </w:pPr>
            <w:r w:rsidRPr="00501DEB">
              <w:rPr>
                <w:lang w:val="en-GB"/>
              </w:rPr>
              <w:t>95%</w:t>
            </w:r>
          </w:p>
        </w:tc>
        <w:tc>
          <w:tcPr>
            <w:tcW w:w="992" w:type="dxa"/>
            <w:vAlign w:val="center"/>
          </w:tcPr>
          <w:p w:rsidR="001E3CF2" w:rsidRPr="00501DEB" w:rsidRDefault="001E3CF2" w:rsidP="001E3CF2">
            <w:pPr>
              <w:pStyle w:val="CCLtdTableNormal"/>
              <w:spacing w:before="40" w:after="40"/>
              <w:ind w:left="0"/>
              <w:jc w:val="right"/>
              <w:rPr>
                <w:lang w:val="en-GB"/>
              </w:rPr>
            </w:pPr>
            <w:r w:rsidRPr="00501DEB">
              <w:rPr>
                <w:lang w:val="en-GB"/>
              </w:rPr>
              <w:t>93%</w:t>
            </w:r>
          </w:p>
        </w:tc>
        <w:tc>
          <w:tcPr>
            <w:tcW w:w="992" w:type="dxa"/>
            <w:vAlign w:val="center"/>
          </w:tcPr>
          <w:p w:rsidR="001E3CF2" w:rsidRPr="00501DEB" w:rsidRDefault="001E3CF2" w:rsidP="001E3CF2">
            <w:pPr>
              <w:pStyle w:val="CCLtdTableNormal"/>
              <w:spacing w:before="40" w:after="40"/>
              <w:ind w:left="0"/>
              <w:jc w:val="right"/>
              <w:rPr>
                <w:lang w:val="en-GB"/>
              </w:rPr>
            </w:pPr>
            <w:r w:rsidRPr="00501DEB">
              <w:rPr>
                <w:lang w:val="en-GB"/>
              </w:rPr>
              <w:t>93%</w:t>
            </w:r>
          </w:p>
        </w:tc>
        <w:tc>
          <w:tcPr>
            <w:tcW w:w="993" w:type="dxa"/>
            <w:vAlign w:val="center"/>
          </w:tcPr>
          <w:p w:rsidR="001E3CF2" w:rsidRPr="00501DEB" w:rsidRDefault="001E3CF2" w:rsidP="001E3CF2">
            <w:pPr>
              <w:pStyle w:val="CCLtdTableNormal"/>
              <w:spacing w:before="40" w:after="40"/>
              <w:ind w:left="0"/>
              <w:jc w:val="right"/>
              <w:rPr>
                <w:lang w:val="en-GB"/>
              </w:rPr>
            </w:pPr>
            <w:r w:rsidRPr="00501DEB">
              <w:rPr>
                <w:lang w:val="en-GB"/>
              </w:rPr>
              <w:t>85%</w:t>
            </w:r>
          </w:p>
        </w:tc>
        <w:tc>
          <w:tcPr>
            <w:tcW w:w="992" w:type="dxa"/>
            <w:vAlign w:val="center"/>
          </w:tcPr>
          <w:p w:rsidR="001E3CF2" w:rsidRPr="00501DEB" w:rsidRDefault="001E3CF2" w:rsidP="001E3CF2">
            <w:pPr>
              <w:pStyle w:val="CCLtdTableNormal"/>
              <w:spacing w:before="40" w:after="40"/>
              <w:ind w:left="0"/>
              <w:jc w:val="right"/>
              <w:rPr>
                <w:lang w:val="en-GB"/>
              </w:rPr>
            </w:pPr>
            <w:r w:rsidRPr="00501DEB">
              <w:rPr>
                <w:lang w:val="en-GB"/>
              </w:rPr>
              <w:t>90%</w:t>
            </w:r>
          </w:p>
        </w:tc>
        <w:tc>
          <w:tcPr>
            <w:tcW w:w="992" w:type="dxa"/>
            <w:vAlign w:val="center"/>
          </w:tcPr>
          <w:p w:rsidR="001E3CF2" w:rsidRPr="00501DEB" w:rsidRDefault="001E3CF2" w:rsidP="001E3CF2">
            <w:pPr>
              <w:pStyle w:val="CCLtdTableNormal"/>
              <w:spacing w:before="40" w:after="40"/>
              <w:ind w:left="0"/>
              <w:jc w:val="right"/>
              <w:rPr>
                <w:lang w:val="en-GB" w:eastAsia="en-GB"/>
              </w:rPr>
            </w:pPr>
            <w:r w:rsidRPr="00501DEB">
              <w:rPr>
                <w:lang w:val="en-GB" w:eastAsia="en-GB"/>
              </w:rPr>
              <w:t>95%</w:t>
            </w:r>
          </w:p>
        </w:tc>
        <w:tc>
          <w:tcPr>
            <w:tcW w:w="993" w:type="dxa"/>
            <w:vAlign w:val="center"/>
          </w:tcPr>
          <w:p w:rsidR="001E3CF2" w:rsidRPr="00501DEB" w:rsidRDefault="001E3CF2" w:rsidP="001E3CF2">
            <w:pPr>
              <w:spacing w:before="40" w:after="40"/>
              <w:jc w:val="right"/>
              <w:rPr>
                <w:rFonts w:ascii="Trebuchet MS" w:hAnsi="Trebuchet MS"/>
                <w:lang w:val="en-GB"/>
              </w:rPr>
            </w:pPr>
            <w:r w:rsidRPr="00501DEB">
              <w:rPr>
                <w:rFonts w:ascii="Trebuchet MS" w:hAnsi="Trebuchet MS"/>
                <w:lang w:val="en-GB"/>
              </w:rPr>
              <w:t>93%</w:t>
            </w:r>
          </w:p>
        </w:tc>
      </w:tr>
      <w:tr w:rsidR="001E3CF2" w:rsidRPr="00501DEB">
        <w:trPr>
          <w:trHeight w:val="315"/>
          <w:tblHeader/>
        </w:trPr>
        <w:tc>
          <w:tcPr>
            <w:tcW w:w="3402" w:type="dxa"/>
            <w:shd w:val="clear" w:color="auto" w:fill="auto"/>
            <w:noWrap/>
          </w:tcPr>
          <w:p w:rsidR="001E3CF2" w:rsidRPr="00501DEB" w:rsidRDefault="001E3CF2" w:rsidP="001E3CF2">
            <w:pPr>
              <w:pStyle w:val="CCLtdNormal"/>
              <w:spacing w:before="40" w:after="40"/>
              <w:ind w:left="0"/>
              <w:rPr>
                <w:lang w:val="en-GB"/>
              </w:rPr>
            </w:pPr>
            <w:r w:rsidRPr="00501DEB">
              <w:rPr>
                <w:lang w:val="en-GB"/>
              </w:rPr>
              <w:t>…made me feel more connected to the stories of Hull and its people’</w:t>
            </w:r>
          </w:p>
        </w:tc>
        <w:tc>
          <w:tcPr>
            <w:tcW w:w="992" w:type="dxa"/>
            <w:shd w:val="clear" w:color="auto" w:fill="auto"/>
            <w:noWrap/>
            <w:vAlign w:val="center"/>
          </w:tcPr>
          <w:p w:rsidR="001E3CF2" w:rsidRPr="00501DEB" w:rsidRDefault="001E3CF2" w:rsidP="001E3CF2">
            <w:pPr>
              <w:pStyle w:val="CCLtdTableNormal"/>
              <w:spacing w:before="40" w:after="40"/>
              <w:ind w:left="0"/>
              <w:jc w:val="right"/>
              <w:rPr>
                <w:lang w:val="en-GB" w:eastAsia="en-GB"/>
              </w:rPr>
            </w:pPr>
            <w:r w:rsidRPr="00501DEB">
              <w:rPr>
                <w:lang w:val="en-GB" w:eastAsia="en-GB"/>
              </w:rPr>
              <w:t>-</w:t>
            </w:r>
          </w:p>
        </w:tc>
        <w:tc>
          <w:tcPr>
            <w:tcW w:w="992" w:type="dxa"/>
            <w:shd w:val="clear" w:color="auto" w:fill="auto"/>
            <w:noWrap/>
            <w:vAlign w:val="center"/>
          </w:tcPr>
          <w:p w:rsidR="001E3CF2" w:rsidRPr="00501DEB" w:rsidRDefault="001E3CF2" w:rsidP="001E3CF2">
            <w:pPr>
              <w:pStyle w:val="CCLtdTableNormal"/>
              <w:spacing w:before="40" w:after="40"/>
              <w:ind w:left="0"/>
              <w:jc w:val="right"/>
              <w:rPr>
                <w:lang w:val="en-GB" w:eastAsia="en-GB"/>
              </w:rPr>
            </w:pPr>
            <w:r w:rsidRPr="00501DEB">
              <w:rPr>
                <w:lang w:val="en-GB" w:eastAsia="en-GB"/>
              </w:rPr>
              <w:t>64%</w:t>
            </w:r>
          </w:p>
        </w:tc>
        <w:tc>
          <w:tcPr>
            <w:tcW w:w="992" w:type="dxa"/>
            <w:vAlign w:val="center"/>
          </w:tcPr>
          <w:p w:rsidR="001E3CF2" w:rsidRPr="00501DEB" w:rsidRDefault="001E3CF2" w:rsidP="001E3CF2">
            <w:pPr>
              <w:pStyle w:val="CCLtdTableNormal"/>
              <w:spacing w:before="40" w:after="40"/>
              <w:ind w:left="0"/>
              <w:jc w:val="right"/>
              <w:rPr>
                <w:lang w:val="en-GB" w:eastAsia="en-GB"/>
              </w:rPr>
            </w:pPr>
            <w:r w:rsidRPr="00501DEB">
              <w:rPr>
                <w:lang w:val="en-GB" w:eastAsia="en-GB"/>
              </w:rPr>
              <w:t>-</w:t>
            </w:r>
          </w:p>
        </w:tc>
        <w:tc>
          <w:tcPr>
            <w:tcW w:w="993" w:type="dxa"/>
            <w:vAlign w:val="center"/>
          </w:tcPr>
          <w:p w:rsidR="001E3CF2" w:rsidRPr="00501DEB" w:rsidRDefault="001E3CF2" w:rsidP="001E3CF2">
            <w:pPr>
              <w:pStyle w:val="CCLtdTableNormal"/>
              <w:spacing w:before="40" w:after="40"/>
              <w:ind w:left="0"/>
              <w:jc w:val="right"/>
              <w:rPr>
                <w:lang w:val="en-GB" w:eastAsia="en-GB"/>
              </w:rPr>
            </w:pPr>
            <w:r w:rsidRPr="00501DEB">
              <w:rPr>
                <w:lang w:val="en-GB" w:eastAsia="en-GB"/>
              </w:rPr>
              <w:t>74%</w:t>
            </w:r>
          </w:p>
        </w:tc>
        <w:tc>
          <w:tcPr>
            <w:tcW w:w="992" w:type="dxa"/>
            <w:vAlign w:val="center"/>
          </w:tcPr>
          <w:p w:rsidR="001E3CF2" w:rsidRPr="00501DEB" w:rsidRDefault="001E3CF2" w:rsidP="001E3CF2">
            <w:pPr>
              <w:pStyle w:val="CCLtdTableNormal"/>
              <w:spacing w:before="40" w:after="40"/>
              <w:ind w:left="0"/>
              <w:jc w:val="right"/>
              <w:rPr>
                <w:lang w:val="en-GB"/>
              </w:rPr>
            </w:pPr>
            <w:r w:rsidRPr="00501DEB">
              <w:rPr>
                <w:lang w:val="en-GB"/>
              </w:rPr>
              <w:t>69%</w:t>
            </w:r>
          </w:p>
        </w:tc>
        <w:tc>
          <w:tcPr>
            <w:tcW w:w="992" w:type="dxa"/>
            <w:vAlign w:val="center"/>
          </w:tcPr>
          <w:p w:rsidR="001E3CF2" w:rsidRPr="00501DEB" w:rsidRDefault="001E3CF2" w:rsidP="001E3CF2">
            <w:pPr>
              <w:pStyle w:val="CCLtdTableNormal"/>
              <w:spacing w:before="40" w:after="40"/>
              <w:ind w:left="0"/>
              <w:jc w:val="right"/>
              <w:rPr>
                <w:lang w:val="en-GB"/>
              </w:rPr>
            </w:pPr>
            <w:r w:rsidRPr="00501DEB">
              <w:rPr>
                <w:lang w:val="en-GB"/>
              </w:rPr>
              <w:t>-</w:t>
            </w:r>
          </w:p>
        </w:tc>
        <w:tc>
          <w:tcPr>
            <w:tcW w:w="992" w:type="dxa"/>
            <w:vAlign w:val="center"/>
          </w:tcPr>
          <w:p w:rsidR="001E3CF2" w:rsidRPr="00501DEB" w:rsidRDefault="001E3CF2" w:rsidP="001E3CF2">
            <w:pPr>
              <w:pStyle w:val="CCLtdTableNormal"/>
              <w:spacing w:before="40" w:after="40"/>
              <w:ind w:left="0"/>
              <w:jc w:val="right"/>
              <w:rPr>
                <w:lang w:val="en-GB"/>
              </w:rPr>
            </w:pPr>
            <w:r w:rsidRPr="00501DEB">
              <w:rPr>
                <w:lang w:val="en-GB"/>
              </w:rPr>
              <w:t>-</w:t>
            </w:r>
          </w:p>
        </w:tc>
        <w:tc>
          <w:tcPr>
            <w:tcW w:w="993" w:type="dxa"/>
            <w:vAlign w:val="center"/>
          </w:tcPr>
          <w:p w:rsidR="001E3CF2" w:rsidRPr="00501DEB" w:rsidRDefault="001E3CF2" w:rsidP="001E3CF2">
            <w:pPr>
              <w:pStyle w:val="CCLtdTableNormal"/>
              <w:spacing w:before="40" w:after="40"/>
              <w:ind w:left="0"/>
              <w:jc w:val="right"/>
              <w:rPr>
                <w:lang w:val="en-GB"/>
              </w:rPr>
            </w:pPr>
            <w:r w:rsidRPr="00501DEB">
              <w:rPr>
                <w:lang w:val="en-GB"/>
              </w:rPr>
              <w:t>52%</w:t>
            </w:r>
          </w:p>
        </w:tc>
        <w:tc>
          <w:tcPr>
            <w:tcW w:w="992" w:type="dxa"/>
            <w:vAlign w:val="center"/>
          </w:tcPr>
          <w:p w:rsidR="001E3CF2" w:rsidRPr="00501DEB" w:rsidRDefault="001E3CF2" w:rsidP="001E3CF2">
            <w:pPr>
              <w:pStyle w:val="CCLtdTableNormal"/>
              <w:spacing w:before="40" w:after="40"/>
              <w:ind w:left="0"/>
              <w:jc w:val="right"/>
              <w:rPr>
                <w:lang w:val="en-GB"/>
              </w:rPr>
            </w:pPr>
            <w:r w:rsidRPr="00501DEB">
              <w:rPr>
                <w:lang w:val="en-GB"/>
              </w:rPr>
              <w:t>-</w:t>
            </w:r>
          </w:p>
        </w:tc>
        <w:tc>
          <w:tcPr>
            <w:tcW w:w="992" w:type="dxa"/>
            <w:vAlign w:val="center"/>
          </w:tcPr>
          <w:p w:rsidR="001E3CF2" w:rsidRPr="00501DEB" w:rsidRDefault="001E3CF2" w:rsidP="001E3CF2">
            <w:pPr>
              <w:pStyle w:val="CCLtdTableNormal"/>
              <w:spacing w:before="40" w:after="40"/>
              <w:ind w:left="0"/>
              <w:jc w:val="right"/>
              <w:rPr>
                <w:lang w:val="en-GB" w:eastAsia="en-GB"/>
              </w:rPr>
            </w:pPr>
            <w:r w:rsidRPr="00501DEB">
              <w:rPr>
                <w:lang w:val="en-GB" w:eastAsia="en-GB"/>
              </w:rPr>
              <w:t>65%</w:t>
            </w:r>
          </w:p>
        </w:tc>
        <w:tc>
          <w:tcPr>
            <w:tcW w:w="993" w:type="dxa"/>
            <w:vAlign w:val="center"/>
          </w:tcPr>
          <w:p w:rsidR="001E3CF2" w:rsidRPr="00501DEB" w:rsidRDefault="001E3CF2" w:rsidP="001E3CF2">
            <w:pPr>
              <w:spacing w:before="40" w:after="40"/>
              <w:jc w:val="right"/>
              <w:rPr>
                <w:rFonts w:ascii="Trebuchet MS" w:hAnsi="Trebuchet MS"/>
                <w:lang w:val="en-GB"/>
              </w:rPr>
            </w:pPr>
            <w:r w:rsidRPr="00501DEB">
              <w:rPr>
                <w:rFonts w:ascii="Trebuchet MS" w:hAnsi="Trebuchet MS"/>
                <w:lang w:val="en-GB"/>
              </w:rPr>
              <w:t>67%</w:t>
            </w:r>
          </w:p>
        </w:tc>
      </w:tr>
      <w:tr w:rsidR="001E3CF2" w:rsidRPr="00501DEB">
        <w:trPr>
          <w:trHeight w:val="315"/>
          <w:tblHeader/>
        </w:trPr>
        <w:tc>
          <w:tcPr>
            <w:tcW w:w="3402" w:type="dxa"/>
            <w:shd w:val="clear" w:color="auto" w:fill="auto"/>
            <w:noWrap/>
          </w:tcPr>
          <w:p w:rsidR="001E3CF2" w:rsidRPr="00501DEB" w:rsidRDefault="001E3CF2" w:rsidP="001E3CF2">
            <w:pPr>
              <w:pStyle w:val="CCLtdNormal"/>
              <w:spacing w:before="40" w:after="40"/>
              <w:ind w:left="0"/>
              <w:rPr>
                <w:lang w:val="en-GB"/>
              </w:rPr>
            </w:pPr>
            <w:r w:rsidRPr="00501DEB">
              <w:rPr>
                <w:lang w:val="en-GB"/>
              </w:rPr>
              <w:t>…gave me the opportunity to interact with other people who I normally wouldn’t have interacted with’</w:t>
            </w:r>
          </w:p>
        </w:tc>
        <w:tc>
          <w:tcPr>
            <w:tcW w:w="992" w:type="dxa"/>
            <w:shd w:val="clear" w:color="auto" w:fill="auto"/>
            <w:noWrap/>
            <w:vAlign w:val="center"/>
          </w:tcPr>
          <w:p w:rsidR="001E3CF2" w:rsidRPr="00501DEB" w:rsidRDefault="001E3CF2" w:rsidP="001E3CF2">
            <w:pPr>
              <w:pStyle w:val="CCLtdTableNormal"/>
              <w:spacing w:before="40" w:after="40"/>
              <w:ind w:left="0"/>
              <w:jc w:val="right"/>
              <w:rPr>
                <w:lang w:val="en-GB" w:eastAsia="en-GB"/>
              </w:rPr>
            </w:pPr>
            <w:r w:rsidRPr="00501DEB">
              <w:rPr>
                <w:lang w:val="en-GB" w:eastAsia="en-GB"/>
              </w:rPr>
              <w:t>64%</w:t>
            </w:r>
          </w:p>
        </w:tc>
        <w:tc>
          <w:tcPr>
            <w:tcW w:w="992" w:type="dxa"/>
            <w:shd w:val="clear" w:color="auto" w:fill="auto"/>
            <w:noWrap/>
            <w:vAlign w:val="center"/>
          </w:tcPr>
          <w:p w:rsidR="001E3CF2" w:rsidRPr="00501DEB" w:rsidRDefault="001E3CF2" w:rsidP="001E3CF2">
            <w:pPr>
              <w:pStyle w:val="CCLtdTableNormal"/>
              <w:spacing w:before="40" w:after="40"/>
              <w:ind w:left="0"/>
              <w:jc w:val="right"/>
              <w:rPr>
                <w:lang w:val="en-GB" w:eastAsia="en-GB"/>
              </w:rPr>
            </w:pPr>
            <w:r w:rsidRPr="00501DEB">
              <w:rPr>
                <w:lang w:val="en-GB" w:eastAsia="en-GB"/>
              </w:rPr>
              <w:t>62%</w:t>
            </w:r>
          </w:p>
        </w:tc>
        <w:tc>
          <w:tcPr>
            <w:tcW w:w="992" w:type="dxa"/>
            <w:vAlign w:val="center"/>
          </w:tcPr>
          <w:p w:rsidR="001E3CF2" w:rsidRPr="00501DEB" w:rsidRDefault="001E3CF2" w:rsidP="001E3CF2">
            <w:pPr>
              <w:pStyle w:val="CCLtdTableNormal"/>
              <w:spacing w:before="40" w:after="40"/>
              <w:ind w:left="0"/>
              <w:jc w:val="right"/>
              <w:rPr>
                <w:lang w:val="en-GB" w:eastAsia="en-GB"/>
              </w:rPr>
            </w:pPr>
            <w:r w:rsidRPr="00501DEB">
              <w:rPr>
                <w:lang w:val="en-GB" w:eastAsia="en-GB"/>
              </w:rPr>
              <w:t>41%</w:t>
            </w:r>
          </w:p>
        </w:tc>
        <w:tc>
          <w:tcPr>
            <w:tcW w:w="993" w:type="dxa"/>
            <w:vAlign w:val="center"/>
          </w:tcPr>
          <w:p w:rsidR="001E3CF2" w:rsidRPr="00501DEB" w:rsidRDefault="001E3CF2" w:rsidP="001E3CF2">
            <w:pPr>
              <w:pStyle w:val="CCLtdTableNormal"/>
              <w:spacing w:before="40" w:after="40"/>
              <w:ind w:left="0"/>
              <w:jc w:val="right"/>
              <w:rPr>
                <w:lang w:val="en-GB" w:eastAsia="en-GB"/>
              </w:rPr>
            </w:pPr>
            <w:r w:rsidRPr="00501DEB">
              <w:rPr>
                <w:lang w:val="en-GB" w:eastAsia="en-GB"/>
              </w:rPr>
              <w:t>62%</w:t>
            </w:r>
          </w:p>
        </w:tc>
        <w:tc>
          <w:tcPr>
            <w:tcW w:w="992" w:type="dxa"/>
            <w:vAlign w:val="center"/>
          </w:tcPr>
          <w:p w:rsidR="001E3CF2" w:rsidRPr="00501DEB" w:rsidRDefault="001E3CF2" w:rsidP="001E3CF2">
            <w:pPr>
              <w:pStyle w:val="CCLtdTableNormal"/>
              <w:spacing w:before="40" w:after="40"/>
              <w:ind w:left="0"/>
              <w:jc w:val="right"/>
              <w:rPr>
                <w:lang w:val="en-GB"/>
              </w:rPr>
            </w:pPr>
            <w:r w:rsidRPr="00501DEB">
              <w:rPr>
                <w:lang w:val="en-GB"/>
              </w:rPr>
              <w:t>68%</w:t>
            </w:r>
          </w:p>
        </w:tc>
        <w:tc>
          <w:tcPr>
            <w:tcW w:w="992" w:type="dxa"/>
            <w:vAlign w:val="center"/>
          </w:tcPr>
          <w:p w:rsidR="001E3CF2" w:rsidRPr="00501DEB" w:rsidRDefault="001E3CF2" w:rsidP="001E3CF2">
            <w:pPr>
              <w:pStyle w:val="CCLtdTableNormal"/>
              <w:spacing w:before="40" w:after="40"/>
              <w:ind w:left="0"/>
              <w:jc w:val="right"/>
              <w:rPr>
                <w:lang w:val="en-GB"/>
              </w:rPr>
            </w:pPr>
            <w:r w:rsidRPr="00501DEB">
              <w:rPr>
                <w:lang w:val="en-GB"/>
              </w:rPr>
              <w:t>57%</w:t>
            </w:r>
          </w:p>
        </w:tc>
        <w:tc>
          <w:tcPr>
            <w:tcW w:w="992" w:type="dxa"/>
            <w:vAlign w:val="center"/>
          </w:tcPr>
          <w:p w:rsidR="001E3CF2" w:rsidRPr="00501DEB" w:rsidRDefault="001E3CF2" w:rsidP="001E3CF2">
            <w:pPr>
              <w:pStyle w:val="CCLtdTableNormal"/>
              <w:spacing w:before="40" w:after="40"/>
              <w:ind w:left="0"/>
              <w:jc w:val="right"/>
              <w:rPr>
                <w:lang w:val="en-GB"/>
              </w:rPr>
            </w:pPr>
            <w:r w:rsidRPr="00501DEB">
              <w:rPr>
                <w:lang w:val="en-GB"/>
              </w:rPr>
              <w:t>64%</w:t>
            </w:r>
          </w:p>
        </w:tc>
        <w:tc>
          <w:tcPr>
            <w:tcW w:w="993" w:type="dxa"/>
            <w:vAlign w:val="center"/>
          </w:tcPr>
          <w:p w:rsidR="001E3CF2" w:rsidRPr="00501DEB" w:rsidRDefault="001E3CF2" w:rsidP="001E3CF2">
            <w:pPr>
              <w:pStyle w:val="CCLtdTableNormal"/>
              <w:spacing w:before="40" w:after="40"/>
              <w:ind w:left="0"/>
              <w:jc w:val="right"/>
              <w:rPr>
                <w:lang w:val="en-GB"/>
              </w:rPr>
            </w:pPr>
            <w:r w:rsidRPr="00501DEB">
              <w:rPr>
                <w:lang w:val="en-GB"/>
              </w:rPr>
              <w:t>-</w:t>
            </w:r>
          </w:p>
        </w:tc>
        <w:tc>
          <w:tcPr>
            <w:tcW w:w="992" w:type="dxa"/>
            <w:vAlign w:val="center"/>
          </w:tcPr>
          <w:p w:rsidR="001E3CF2" w:rsidRPr="00501DEB" w:rsidRDefault="001E3CF2" w:rsidP="001E3CF2">
            <w:pPr>
              <w:pStyle w:val="CCLtdTableNormal"/>
              <w:spacing w:before="40" w:after="40"/>
              <w:ind w:left="0"/>
              <w:jc w:val="right"/>
              <w:rPr>
                <w:lang w:val="en-GB"/>
              </w:rPr>
            </w:pPr>
            <w:r w:rsidRPr="00501DEB">
              <w:rPr>
                <w:lang w:val="en-GB"/>
              </w:rPr>
              <w:t>67%</w:t>
            </w:r>
          </w:p>
        </w:tc>
        <w:tc>
          <w:tcPr>
            <w:tcW w:w="992" w:type="dxa"/>
            <w:vAlign w:val="center"/>
          </w:tcPr>
          <w:p w:rsidR="001E3CF2" w:rsidRPr="00501DEB" w:rsidRDefault="001E3CF2" w:rsidP="001E3CF2">
            <w:pPr>
              <w:pStyle w:val="CCLtdTableNormal"/>
              <w:spacing w:before="40" w:after="40"/>
              <w:ind w:left="0"/>
              <w:jc w:val="right"/>
              <w:rPr>
                <w:lang w:val="en-GB" w:eastAsia="en-GB"/>
              </w:rPr>
            </w:pPr>
            <w:r w:rsidRPr="00501DEB">
              <w:rPr>
                <w:lang w:val="en-GB" w:eastAsia="en-GB"/>
              </w:rPr>
              <w:t>60%</w:t>
            </w:r>
          </w:p>
        </w:tc>
        <w:tc>
          <w:tcPr>
            <w:tcW w:w="993" w:type="dxa"/>
            <w:vAlign w:val="center"/>
          </w:tcPr>
          <w:p w:rsidR="001E3CF2" w:rsidRPr="00501DEB" w:rsidRDefault="001E3CF2" w:rsidP="001E3CF2">
            <w:pPr>
              <w:spacing w:before="40" w:after="40"/>
              <w:jc w:val="right"/>
              <w:rPr>
                <w:rFonts w:ascii="Trebuchet MS" w:hAnsi="Trebuchet MS"/>
                <w:lang w:val="en-GB"/>
              </w:rPr>
            </w:pPr>
            <w:r w:rsidRPr="00501DEB">
              <w:rPr>
                <w:rFonts w:ascii="Trebuchet MS" w:hAnsi="Trebuchet MS"/>
                <w:lang w:val="en-GB"/>
              </w:rPr>
              <w:t>63%</w:t>
            </w:r>
          </w:p>
        </w:tc>
      </w:tr>
      <w:tr w:rsidR="001E3CF2" w:rsidRPr="00501DEB">
        <w:trPr>
          <w:trHeight w:val="315"/>
          <w:tblHeader/>
        </w:trPr>
        <w:tc>
          <w:tcPr>
            <w:tcW w:w="3402" w:type="dxa"/>
            <w:shd w:val="clear" w:color="auto" w:fill="auto"/>
            <w:noWrap/>
          </w:tcPr>
          <w:p w:rsidR="001E3CF2" w:rsidRPr="00501DEB" w:rsidRDefault="001E3CF2" w:rsidP="001E3CF2">
            <w:pPr>
              <w:pStyle w:val="CCLtdNormal"/>
              <w:spacing w:before="40" w:after="40"/>
              <w:ind w:left="0"/>
              <w:rPr>
                <w:lang w:val="en-GB"/>
              </w:rPr>
            </w:pPr>
            <w:r w:rsidRPr="00501DEB">
              <w:rPr>
                <w:lang w:val="en-GB"/>
              </w:rPr>
              <w:t>…has made me think that getting involved in a project as a volunteer looks like fun’</w:t>
            </w:r>
          </w:p>
        </w:tc>
        <w:tc>
          <w:tcPr>
            <w:tcW w:w="992" w:type="dxa"/>
            <w:shd w:val="clear" w:color="auto" w:fill="auto"/>
            <w:noWrap/>
            <w:vAlign w:val="center"/>
          </w:tcPr>
          <w:p w:rsidR="001E3CF2" w:rsidRPr="00501DEB" w:rsidRDefault="001E3CF2" w:rsidP="001E3CF2">
            <w:pPr>
              <w:pStyle w:val="CCLtdTableNormal"/>
              <w:spacing w:before="40" w:after="40"/>
              <w:ind w:left="0"/>
              <w:jc w:val="right"/>
              <w:rPr>
                <w:lang w:val="en-GB" w:eastAsia="en-GB"/>
              </w:rPr>
            </w:pPr>
            <w:r w:rsidRPr="00501DEB">
              <w:rPr>
                <w:lang w:val="en-GB" w:eastAsia="en-GB"/>
              </w:rPr>
              <w:t>60%</w:t>
            </w:r>
          </w:p>
        </w:tc>
        <w:tc>
          <w:tcPr>
            <w:tcW w:w="992" w:type="dxa"/>
            <w:shd w:val="clear" w:color="auto" w:fill="auto"/>
            <w:noWrap/>
            <w:vAlign w:val="center"/>
          </w:tcPr>
          <w:p w:rsidR="001E3CF2" w:rsidRPr="00501DEB" w:rsidRDefault="001E3CF2" w:rsidP="001E3CF2">
            <w:pPr>
              <w:pStyle w:val="CCLtdTableNormal"/>
              <w:spacing w:before="40" w:after="40"/>
              <w:ind w:left="0"/>
              <w:jc w:val="right"/>
              <w:rPr>
                <w:lang w:val="en-GB" w:eastAsia="en-GB"/>
              </w:rPr>
            </w:pPr>
            <w:r w:rsidRPr="00501DEB">
              <w:rPr>
                <w:lang w:val="en-GB" w:eastAsia="en-GB"/>
              </w:rPr>
              <w:t>-</w:t>
            </w:r>
          </w:p>
        </w:tc>
        <w:tc>
          <w:tcPr>
            <w:tcW w:w="992" w:type="dxa"/>
            <w:vAlign w:val="center"/>
          </w:tcPr>
          <w:p w:rsidR="001E3CF2" w:rsidRPr="00501DEB" w:rsidRDefault="001E3CF2" w:rsidP="001E3CF2">
            <w:pPr>
              <w:pStyle w:val="CCLtdTableNormal"/>
              <w:spacing w:before="40" w:after="40"/>
              <w:ind w:left="0"/>
              <w:jc w:val="right"/>
              <w:rPr>
                <w:lang w:val="en-GB" w:eastAsia="en-GB"/>
              </w:rPr>
            </w:pPr>
            <w:r w:rsidRPr="00501DEB">
              <w:rPr>
                <w:lang w:val="en-GB" w:eastAsia="en-GB"/>
              </w:rPr>
              <w:t>-</w:t>
            </w:r>
          </w:p>
        </w:tc>
        <w:tc>
          <w:tcPr>
            <w:tcW w:w="993" w:type="dxa"/>
            <w:vAlign w:val="center"/>
          </w:tcPr>
          <w:p w:rsidR="001E3CF2" w:rsidRPr="00501DEB" w:rsidRDefault="001E3CF2" w:rsidP="001E3CF2">
            <w:pPr>
              <w:pStyle w:val="CCLtdTableNormal"/>
              <w:spacing w:before="40" w:after="40"/>
              <w:ind w:left="0"/>
              <w:jc w:val="right"/>
              <w:rPr>
                <w:lang w:val="en-GB" w:eastAsia="en-GB"/>
              </w:rPr>
            </w:pPr>
            <w:r w:rsidRPr="00501DEB">
              <w:rPr>
                <w:lang w:val="en-GB" w:eastAsia="en-GB"/>
              </w:rPr>
              <w:t>-</w:t>
            </w:r>
          </w:p>
        </w:tc>
        <w:tc>
          <w:tcPr>
            <w:tcW w:w="992" w:type="dxa"/>
            <w:vAlign w:val="center"/>
          </w:tcPr>
          <w:p w:rsidR="001E3CF2" w:rsidRPr="00501DEB" w:rsidRDefault="001E3CF2" w:rsidP="001E3CF2">
            <w:pPr>
              <w:pStyle w:val="CCLtdTableNormal"/>
              <w:spacing w:before="40" w:after="40"/>
              <w:ind w:left="0"/>
              <w:jc w:val="right"/>
              <w:rPr>
                <w:lang w:val="en-GB"/>
              </w:rPr>
            </w:pPr>
            <w:r w:rsidRPr="00501DEB">
              <w:rPr>
                <w:lang w:val="en-GB"/>
              </w:rPr>
              <w:t>62%</w:t>
            </w:r>
          </w:p>
        </w:tc>
        <w:tc>
          <w:tcPr>
            <w:tcW w:w="992" w:type="dxa"/>
            <w:vAlign w:val="center"/>
          </w:tcPr>
          <w:p w:rsidR="001E3CF2" w:rsidRPr="00501DEB" w:rsidRDefault="001E3CF2" w:rsidP="001E3CF2">
            <w:pPr>
              <w:pStyle w:val="CCLtdTableNormal"/>
              <w:spacing w:before="40" w:after="40"/>
              <w:ind w:left="0"/>
              <w:jc w:val="right"/>
              <w:rPr>
                <w:lang w:val="en-GB"/>
              </w:rPr>
            </w:pPr>
            <w:r w:rsidRPr="00501DEB">
              <w:rPr>
                <w:lang w:val="en-GB"/>
              </w:rPr>
              <w:t>-</w:t>
            </w:r>
          </w:p>
        </w:tc>
        <w:tc>
          <w:tcPr>
            <w:tcW w:w="992" w:type="dxa"/>
            <w:vAlign w:val="center"/>
          </w:tcPr>
          <w:p w:rsidR="001E3CF2" w:rsidRPr="00501DEB" w:rsidRDefault="001E3CF2" w:rsidP="001E3CF2">
            <w:pPr>
              <w:pStyle w:val="CCLtdTableNormal"/>
              <w:spacing w:before="40" w:after="40"/>
              <w:ind w:left="0"/>
              <w:jc w:val="right"/>
              <w:rPr>
                <w:lang w:val="en-GB"/>
              </w:rPr>
            </w:pPr>
            <w:r w:rsidRPr="00501DEB">
              <w:rPr>
                <w:lang w:val="en-GB"/>
              </w:rPr>
              <w:t>-</w:t>
            </w:r>
          </w:p>
        </w:tc>
        <w:tc>
          <w:tcPr>
            <w:tcW w:w="993" w:type="dxa"/>
            <w:vAlign w:val="center"/>
          </w:tcPr>
          <w:p w:rsidR="001E3CF2" w:rsidRPr="00501DEB" w:rsidRDefault="001E3CF2" w:rsidP="001E3CF2">
            <w:pPr>
              <w:pStyle w:val="CCLtdTableNormal"/>
              <w:spacing w:before="40" w:after="40"/>
              <w:ind w:left="0"/>
              <w:jc w:val="right"/>
              <w:rPr>
                <w:lang w:val="en-GB"/>
              </w:rPr>
            </w:pPr>
            <w:r w:rsidRPr="00501DEB">
              <w:rPr>
                <w:lang w:val="en-GB"/>
              </w:rPr>
              <w:t>-</w:t>
            </w:r>
          </w:p>
        </w:tc>
        <w:tc>
          <w:tcPr>
            <w:tcW w:w="992" w:type="dxa"/>
            <w:vAlign w:val="center"/>
          </w:tcPr>
          <w:p w:rsidR="001E3CF2" w:rsidRPr="00501DEB" w:rsidRDefault="001E3CF2" w:rsidP="001E3CF2">
            <w:pPr>
              <w:pStyle w:val="CCLtdTableNormal"/>
              <w:spacing w:before="40" w:after="40"/>
              <w:ind w:left="0"/>
              <w:jc w:val="right"/>
              <w:rPr>
                <w:lang w:val="en-GB"/>
              </w:rPr>
            </w:pPr>
            <w:r w:rsidRPr="00501DEB">
              <w:rPr>
                <w:lang w:val="en-GB"/>
              </w:rPr>
              <w:t>-</w:t>
            </w:r>
          </w:p>
        </w:tc>
        <w:tc>
          <w:tcPr>
            <w:tcW w:w="992" w:type="dxa"/>
            <w:vAlign w:val="center"/>
          </w:tcPr>
          <w:p w:rsidR="001E3CF2" w:rsidRPr="00501DEB" w:rsidRDefault="001E3CF2" w:rsidP="001E3CF2">
            <w:pPr>
              <w:pStyle w:val="CCLtdTableNormal"/>
              <w:spacing w:before="40" w:after="40"/>
              <w:ind w:left="0"/>
              <w:jc w:val="right"/>
              <w:rPr>
                <w:lang w:val="en-GB" w:eastAsia="en-GB"/>
              </w:rPr>
            </w:pPr>
            <w:r w:rsidRPr="00501DEB">
              <w:rPr>
                <w:lang w:val="en-GB" w:eastAsia="en-GB"/>
              </w:rPr>
              <w:t>-</w:t>
            </w:r>
          </w:p>
        </w:tc>
        <w:tc>
          <w:tcPr>
            <w:tcW w:w="993" w:type="dxa"/>
            <w:vAlign w:val="center"/>
          </w:tcPr>
          <w:p w:rsidR="001E3CF2" w:rsidRPr="00501DEB" w:rsidRDefault="001E3CF2" w:rsidP="001E3CF2">
            <w:pPr>
              <w:spacing w:before="40" w:after="40"/>
              <w:jc w:val="right"/>
              <w:rPr>
                <w:rFonts w:ascii="Trebuchet MS" w:hAnsi="Trebuchet MS"/>
                <w:lang w:val="en-GB"/>
              </w:rPr>
            </w:pPr>
            <w:r w:rsidRPr="00501DEB">
              <w:rPr>
                <w:rFonts w:ascii="Trebuchet MS" w:hAnsi="Trebuchet MS"/>
                <w:lang w:val="en-GB"/>
              </w:rPr>
              <w:t>59%</w:t>
            </w:r>
          </w:p>
        </w:tc>
      </w:tr>
    </w:tbl>
    <w:p w:rsidR="001E3CF2" w:rsidRPr="00501DEB" w:rsidRDefault="001E3CF2" w:rsidP="001E3CF2">
      <w:pPr>
        <w:pStyle w:val="CCLtdNormal"/>
        <w:ind w:left="0"/>
        <w:rPr>
          <w:lang w:val="en-GB"/>
        </w:rPr>
        <w:sectPr w:rsidR="001E3CF2" w:rsidRPr="00501DEB" w:rsidSect="001E3CF2">
          <w:pgSz w:w="16840" w:h="11900" w:orient="landscape"/>
          <w:pgMar w:top="1418" w:right="1531" w:bottom="1418" w:left="1418" w:header="709" w:footer="709" w:gutter="0"/>
          <w:cols w:space="708"/>
          <w:docGrid w:linePitch="326"/>
        </w:sectPr>
      </w:pPr>
    </w:p>
    <w:p w:rsidR="004A31B6" w:rsidRPr="00501DEB" w:rsidRDefault="00DB1FC6" w:rsidP="00AC65E9">
      <w:pPr>
        <w:pStyle w:val="CCLtdTableTitle"/>
        <w:rPr>
          <w:lang w:val="en-GB"/>
        </w:rPr>
      </w:pPr>
      <w:r w:rsidRPr="00DB1FC6">
        <w:rPr>
          <w:lang w:val="en-GB"/>
        </w:rPr>
        <w:lastRenderedPageBreak/>
        <w:t>Table 4</w:t>
      </w:r>
      <w:r w:rsidR="00E52FEB">
        <w:rPr>
          <w:lang w:val="en-GB"/>
        </w:rPr>
        <w:t>8</w:t>
      </w:r>
      <w:r w:rsidR="004A31B6" w:rsidRPr="00501DEB">
        <w:rPr>
          <w:lang w:val="en-GB"/>
        </w:rPr>
        <w:t>: Value Statements – Strongly Agree or Agree</w:t>
      </w:r>
    </w:p>
    <w:tbl>
      <w:tblPr>
        <w:tblW w:w="8647"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1"/>
        <w:gridCol w:w="1542"/>
        <w:gridCol w:w="1370"/>
        <w:gridCol w:w="1498"/>
        <w:gridCol w:w="2126"/>
      </w:tblGrid>
      <w:tr w:rsidR="004A31B6" w:rsidRPr="00501DEB" w:rsidTr="00072D75">
        <w:tc>
          <w:tcPr>
            <w:tcW w:w="2111" w:type="dxa"/>
            <w:shd w:val="clear" w:color="auto" w:fill="522887"/>
          </w:tcPr>
          <w:p w:rsidR="004A31B6" w:rsidRPr="00501DEB" w:rsidRDefault="004A31B6" w:rsidP="00F37D1F">
            <w:pPr>
              <w:pStyle w:val="CCLtdNormal"/>
              <w:spacing w:before="40" w:after="40"/>
              <w:ind w:left="0"/>
              <w:rPr>
                <w:b/>
                <w:color w:val="FFFFFF"/>
                <w:lang w:val="en-GB"/>
              </w:rPr>
            </w:pPr>
            <w:r w:rsidRPr="00501DEB">
              <w:rPr>
                <w:b/>
                <w:color w:val="FFFFFF"/>
                <w:lang w:val="en-GB"/>
              </w:rPr>
              <w:t>‘Look Up…</w:t>
            </w:r>
          </w:p>
        </w:tc>
        <w:tc>
          <w:tcPr>
            <w:tcW w:w="1542" w:type="dxa"/>
            <w:shd w:val="clear" w:color="auto" w:fill="522887"/>
          </w:tcPr>
          <w:p w:rsidR="004A31B6" w:rsidRPr="00501DEB" w:rsidRDefault="004A31B6" w:rsidP="00F37D1F">
            <w:pPr>
              <w:pStyle w:val="CCLtdNormal"/>
              <w:spacing w:before="40" w:after="40"/>
              <w:ind w:left="0"/>
              <w:rPr>
                <w:b/>
                <w:color w:val="FFFFFF"/>
                <w:lang w:val="en-GB"/>
              </w:rPr>
            </w:pPr>
            <w:r w:rsidRPr="00501DEB">
              <w:rPr>
                <w:b/>
                <w:color w:val="FFFFFF"/>
                <w:lang w:val="en-GB"/>
              </w:rPr>
              <w:t>Age</w:t>
            </w:r>
          </w:p>
        </w:tc>
        <w:tc>
          <w:tcPr>
            <w:tcW w:w="1370" w:type="dxa"/>
            <w:shd w:val="clear" w:color="auto" w:fill="522887"/>
          </w:tcPr>
          <w:p w:rsidR="004A31B6" w:rsidRPr="00501DEB" w:rsidRDefault="004A31B6" w:rsidP="00F37D1F">
            <w:pPr>
              <w:pStyle w:val="CCLtdNormal"/>
              <w:spacing w:before="40" w:after="40"/>
              <w:ind w:left="0"/>
              <w:rPr>
                <w:b/>
                <w:color w:val="FFFFFF"/>
                <w:lang w:val="en-GB"/>
              </w:rPr>
            </w:pPr>
            <w:r w:rsidRPr="00501DEB">
              <w:rPr>
                <w:b/>
                <w:color w:val="FFFFFF"/>
                <w:lang w:val="en-GB"/>
              </w:rPr>
              <w:t>Gender</w:t>
            </w:r>
          </w:p>
        </w:tc>
        <w:tc>
          <w:tcPr>
            <w:tcW w:w="1498" w:type="dxa"/>
            <w:shd w:val="clear" w:color="auto" w:fill="522887"/>
          </w:tcPr>
          <w:p w:rsidR="004A31B6" w:rsidRPr="00501DEB" w:rsidRDefault="004A31B6" w:rsidP="00F37D1F">
            <w:pPr>
              <w:pStyle w:val="CCLtdNormal"/>
              <w:spacing w:before="40" w:after="40"/>
              <w:ind w:left="0"/>
              <w:rPr>
                <w:b/>
                <w:color w:val="FFFFFF"/>
                <w:lang w:val="en-GB"/>
              </w:rPr>
            </w:pPr>
            <w:r w:rsidRPr="00501DEB">
              <w:rPr>
                <w:b/>
                <w:color w:val="FFFFFF"/>
                <w:lang w:val="en-GB"/>
              </w:rPr>
              <w:t>Area of Residence</w:t>
            </w:r>
          </w:p>
        </w:tc>
        <w:tc>
          <w:tcPr>
            <w:tcW w:w="2126" w:type="dxa"/>
            <w:shd w:val="clear" w:color="auto" w:fill="522887"/>
          </w:tcPr>
          <w:p w:rsidR="004A31B6" w:rsidRPr="00501DEB" w:rsidRDefault="004A31B6" w:rsidP="00F37D1F">
            <w:pPr>
              <w:pStyle w:val="CCLtdNormal"/>
              <w:spacing w:before="40" w:after="40"/>
              <w:ind w:left="0"/>
              <w:rPr>
                <w:b/>
                <w:color w:val="FFFFFF"/>
                <w:lang w:val="en-GB"/>
              </w:rPr>
            </w:pPr>
            <w:r w:rsidRPr="00501DEB">
              <w:rPr>
                <w:b/>
                <w:color w:val="FFFFFF"/>
                <w:lang w:val="en-GB"/>
              </w:rPr>
              <w:t>Deprivation</w:t>
            </w:r>
          </w:p>
        </w:tc>
      </w:tr>
      <w:tr w:rsidR="004A31B6" w:rsidRPr="00501DEB" w:rsidTr="00072D75">
        <w:tc>
          <w:tcPr>
            <w:tcW w:w="2111" w:type="dxa"/>
            <w:shd w:val="clear" w:color="auto" w:fill="auto"/>
          </w:tcPr>
          <w:p w:rsidR="004A31B6" w:rsidRPr="007B79A8" w:rsidRDefault="004A31B6" w:rsidP="00F37D1F">
            <w:pPr>
              <w:pStyle w:val="CCLtdNormal"/>
              <w:spacing w:before="40" w:after="40"/>
              <w:ind w:left="0"/>
              <w:rPr>
                <w:lang w:val="en-GB"/>
              </w:rPr>
            </w:pPr>
            <w:r w:rsidRPr="007B79A8">
              <w:rPr>
                <w:lang w:val="en-GB"/>
              </w:rPr>
              <w:t>…gave everyone the chance to share and celebrate together’</w:t>
            </w:r>
          </w:p>
        </w:tc>
        <w:tc>
          <w:tcPr>
            <w:tcW w:w="1542" w:type="dxa"/>
            <w:shd w:val="clear" w:color="auto" w:fill="auto"/>
          </w:tcPr>
          <w:p w:rsidR="004A31B6" w:rsidRPr="007B79A8" w:rsidRDefault="004A31B6" w:rsidP="00F37D1F">
            <w:pPr>
              <w:pStyle w:val="CCLtdNormal"/>
              <w:spacing w:before="40" w:after="40"/>
              <w:ind w:left="0"/>
              <w:rPr>
                <w:lang w:val="en-GB"/>
              </w:rPr>
            </w:pPr>
            <w:r w:rsidRPr="007B79A8">
              <w:rPr>
                <w:lang w:val="en-GB"/>
              </w:rPr>
              <w:t xml:space="preserve">16-34 years </w:t>
            </w:r>
            <w:r w:rsidR="00DB1FC6" w:rsidRPr="007B79A8">
              <w:rPr>
                <w:lang w:val="en-GB"/>
              </w:rPr>
              <w:br/>
              <w:t>79%</w:t>
            </w:r>
          </w:p>
          <w:p w:rsidR="004A31B6" w:rsidRPr="007B79A8" w:rsidRDefault="004A31B6" w:rsidP="00F37D1F">
            <w:pPr>
              <w:pStyle w:val="CCLtdNormal"/>
              <w:spacing w:before="40" w:after="40"/>
              <w:ind w:left="0"/>
              <w:rPr>
                <w:lang w:val="en-GB"/>
              </w:rPr>
            </w:pPr>
            <w:r w:rsidRPr="007B79A8">
              <w:rPr>
                <w:lang w:val="en-GB"/>
              </w:rPr>
              <w:t xml:space="preserve">35-54 years </w:t>
            </w:r>
            <w:r w:rsidR="00DB1FC6" w:rsidRPr="007B79A8">
              <w:rPr>
                <w:lang w:val="en-GB"/>
              </w:rPr>
              <w:t>75%</w:t>
            </w:r>
          </w:p>
          <w:p w:rsidR="004A31B6" w:rsidRPr="007B79A8" w:rsidRDefault="004A31B6" w:rsidP="00F37D1F">
            <w:pPr>
              <w:pStyle w:val="CCLtdNormal"/>
              <w:spacing w:before="40" w:after="40"/>
              <w:ind w:left="0"/>
              <w:rPr>
                <w:lang w:val="en-GB"/>
              </w:rPr>
            </w:pPr>
            <w:r w:rsidRPr="007B79A8">
              <w:rPr>
                <w:lang w:val="en-GB"/>
              </w:rPr>
              <w:t xml:space="preserve">55+ years </w:t>
            </w:r>
            <w:r w:rsidR="00DB1FC6" w:rsidRPr="007B79A8">
              <w:rPr>
                <w:lang w:val="en-GB"/>
              </w:rPr>
              <w:t>73%</w:t>
            </w:r>
          </w:p>
        </w:tc>
        <w:tc>
          <w:tcPr>
            <w:tcW w:w="1370" w:type="dxa"/>
          </w:tcPr>
          <w:p w:rsidR="004A31B6" w:rsidRPr="007B79A8" w:rsidRDefault="004A31B6" w:rsidP="00F37D1F">
            <w:pPr>
              <w:pStyle w:val="CCLtdNormal"/>
              <w:spacing w:before="40" w:after="40"/>
              <w:ind w:left="0"/>
              <w:rPr>
                <w:lang w:val="en-GB"/>
              </w:rPr>
            </w:pPr>
            <w:r w:rsidRPr="007B79A8">
              <w:rPr>
                <w:lang w:val="en-GB"/>
              </w:rPr>
              <w:t>N/A</w:t>
            </w:r>
          </w:p>
        </w:tc>
        <w:tc>
          <w:tcPr>
            <w:tcW w:w="1498" w:type="dxa"/>
          </w:tcPr>
          <w:p w:rsidR="004A31B6" w:rsidRPr="007B79A8" w:rsidRDefault="00194FAC" w:rsidP="00F37D1F">
            <w:pPr>
              <w:pStyle w:val="CCLtdNormal"/>
              <w:spacing w:before="40" w:after="40"/>
              <w:ind w:left="0"/>
              <w:rPr>
                <w:lang w:val="en-GB"/>
              </w:rPr>
            </w:pPr>
            <w:r w:rsidRPr="007B79A8">
              <w:rPr>
                <w:lang w:val="en-GB"/>
              </w:rPr>
              <w:t>N/A</w:t>
            </w:r>
          </w:p>
        </w:tc>
        <w:tc>
          <w:tcPr>
            <w:tcW w:w="2126" w:type="dxa"/>
          </w:tcPr>
          <w:p w:rsidR="00072D75" w:rsidRPr="007B79A8" w:rsidRDefault="00072D75" w:rsidP="00F37D1F">
            <w:pPr>
              <w:pStyle w:val="CCLtdNormal"/>
              <w:spacing w:before="40" w:after="40"/>
              <w:ind w:left="0"/>
              <w:rPr>
                <w:lang w:val="en-GB"/>
              </w:rPr>
            </w:pPr>
            <w:r w:rsidRPr="007B79A8">
              <w:rPr>
                <w:lang w:val="en-GB"/>
              </w:rPr>
              <w:t xml:space="preserve">Most deprived </w:t>
            </w:r>
            <w:r>
              <w:rPr>
                <w:lang w:val="en-GB"/>
              </w:rPr>
              <w:t>94%</w:t>
            </w:r>
          </w:p>
          <w:p w:rsidR="00072D75" w:rsidRPr="007B79A8" w:rsidRDefault="00072D75" w:rsidP="00F37D1F">
            <w:pPr>
              <w:pStyle w:val="CCLtdNormal"/>
              <w:spacing w:before="40" w:after="40"/>
              <w:ind w:left="0"/>
              <w:rPr>
                <w:lang w:val="en-GB"/>
              </w:rPr>
            </w:pPr>
            <w:r w:rsidRPr="007B79A8">
              <w:rPr>
                <w:lang w:val="en-GB"/>
              </w:rPr>
              <w:t>2</w:t>
            </w:r>
            <w:r w:rsidRPr="007B79A8">
              <w:rPr>
                <w:vertAlign w:val="superscript"/>
                <w:lang w:val="en-GB"/>
              </w:rPr>
              <w:t>nd</w:t>
            </w:r>
            <w:r w:rsidRPr="007B79A8">
              <w:rPr>
                <w:lang w:val="en-GB"/>
              </w:rPr>
              <w:t xml:space="preserve"> Most deprived </w:t>
            </w:r>
            <w:r>
              <w:rPr>
                <w:lang w:val="en-GB"/>
              </w:rPr>
              <w:br/>
              <w:t>92%</w:t>
            </w:r>
          </w:p>
          <w:p w:rsidR="004A31B6" w:rsidRPr="007B79A8" w:rsidRDefault="00072D75" w:rsidP="00F37D1F">
            <w:pPr>
              <w:pStyle w:val="CCLtdNormal"/>
              <w:spacing w:before="40" w:after="40"/>
              <w:ind w:left="0"/>
              <w:rPr>
                <w:lang w:val="en-GB"/>
              </w:rPr>
            </w:pPr>
            <w:r w:rsidRPr="007B79A8">
              <w:rPr>
                <w:lang w:val="en-GB"/>
              </w:rPr>
              <w:t xml:space="preserve">Least deprived </w:t>
            </w:r>
            <w:r>
              <w:rPr>
                <w:lang w:val="en-GB"/>
              </w:rPr>
              <w:br/>
              <w:t>84%</w:t>
            </w:r>
          </w:p>
        </w:tc>
      </w:tr>
      <w:tr w:rsidR="004A31B6" w:rsidRPr="00501DEB" w:rsidTr="00072D75">
        <w:tc>
          <w:tcPr>
            <w:tcW w:w="2111" w:type="dxa"/>
            <w:shd w:val="clear" w:color="auto" w:fill="auto"/>
          </w:tcPr>
          <w:p w:rsidR="004A31B6" w:rsidRPr="007B79A8" w:rsidRDefault="004A31B6" w:rsidP="00F37D1F">
            <w:pPr>
              <w:pStyle w:val="CCLtdNormal"/>
              <w:spacing w:before="40" w:after="40"/>
              <w:ind w:left="0"/>
              <w:rPr>
                <w:lang w:val="en-GB"/>
              </w:rPr>
            </w:pPr>
            <w:r w:rsidRPr="007B79A8">
              <w:rPr>
                <w:lang w:val="en-GB"/>
              </w:rPr>
              <w:t>…was an enjoyable experience’</w:t>
            </w:r>
          </w:p>
        </w:tc>
        <w:tc>
          <w:tcPr>
            <w:tcW w:w="1542" w:type="dxa"/>
            <w:shd w:val="clear" w:color="auto" w:fill="auto"/>
          </w:tcPr>
          <w:p w:rsidR="004A31B6" w:rsidRPr="007B79A8" w:rsidRDefault="00DB1FC6" w:rsidP="00F37D1F">
            <w:pPr>
              <w:pStyle w:val="CCLtdNormal"/>
              <w:spacing w:before="40" w:after="40"/>
              <w:ind w:left="0"/>
              <w:rPr>
                <w:lang w:val="en-GB"/>
              </w:rPr>
            </w:pPr>
            <w:r w:rsidRPr="007B79A8">
              <w:rPr>
                <w:lang w:val="en-GB"/>
              </w:rPr>
              <w:t>N/A</w:t>
            </w:r>
          </w:p>
        </w:tc>
        <w:tc>
          <w:tcPr>
            <w:tcW w:w="1370" w:type="dxa"/>
          </w:tcPr>
          <w:p w:rsidR="004A31B6" w:rsidRPr="007B79A8" w:rsidRDefault="00F93D4D" w:rsidP="00F37D1F">
            <w:pPr>
              <w:pStyle w:val="CCLtdNormal"/>
              <w:spacing w:before="40" w:after="40"/>
              <w:ind w:left="0"/>
              <w:rPr>
                <w:lang w:val="en-GB"/>
              </w:rPr>
            </w:pPr>
            <w:r w:rsidRPr="007B79A8">
              <w:rPr>
                <w:lang w:val="en-GB"/>
              </w:rPr>
              <w:t>N/A</w:t>
            </w:r>
          </w:p>
        </w:tc>
        <w:tc>
          <w:tcPr>
            <w:tcW w:w="1498" w:type="dxa"/>
          </w:tcPr>
          <w:p w:rsidR="004A31B6" w:rsidRPr="007B79A8" w:rsidRDefault="004A31B6" w:rsidP="00F37D1F">
            <w:pPr>
              <w:pStyle w:val="CCLtdNormal"/>
              <w:spacing w:before="40" w:after="40"/>
              <w:ind w:left="0"/>
              <w:rPr>
                <w:lang w:val="en-GB"/>
              </w:rPr>
            </w:pPr>
            <w:r w:rsidRPr="007B79A8">
              <w:rPr>
                <w:lang w:val="en-GB"/>
              </w:rPr>
              <w:t>N/A</w:t>
            </w:r>
          </w:p>
        </w:tc>
        <w:tc>
          <w:tcPr>
            <w:tcW w:w="2126" w:type="dxa"/>
          </w:tcPr>
          <w:p w:rsidR="00072D75" w:rsidRPr="007B79A8" w:rsidRDefault="00072D75" w:rsidP="00F37D1F">
            <w:pPr>
              <w:pStyle w:val="CCLtdNormal"/>
              <w:spacing w:before="40" w:after="40"/>
              <w:ind w:left="0"/>
              <w:rPr>
                <w:lang w:val="en-GB"/>
              </w:rPr>
            </w:pPr>
            <w:r w:rsidRPr="007B79A8">
              <w:rPr>
                <w:lang w:val="en-GB"/>
              </w:rPr>
              <w:t xml:space="preserve">Most deprived </w:t>
            </w:r>
            <w:r>
              <w:rPr>
                <w:lang w:val="en-GB"/>
              </w:rPr>
              <w:t>97%</w:t>
            </w:r>
          </w:p>
          <w:p w:rsidR="00072D75" w:rsidRPr="007B79A8" w:rsidRDefault="00072D75" w:rsidP="00F37D1F">
            <w:pPr>
              <w:pStyle w:val="CCLtdNormal"/>
              <w:spacing w:before="40" w:after="40"/>
              <w:ind w:left="0"/>
              <w:rPr>
                <w:lang w:val="en-GB"/>
              </w:rPr>
            </w:pPr>
            <w:r w:rsidRPr="007B79A8">
              <w:rPr>
                <w:lang w:val="en-GB"/>
              </w:rPr>
              <w:t>2</w:t>
            </w:r>
            <w:r w:rsidRPr="007B79A8">
              <w:rPr>
                <w:vertAlign w:val="superscript"/>
                <w:lang w:val="en-GB"/>
              </w:rPr>
              <w:t>nd</w:t>
            </w:r>
            <w:r w:rsidRPr="007B79A8">
              <w:rPr>
                <w:lang w:val="en-GB"/>
              </w:rPr>
              <w:t xml:space="preserve"> Most deprived </w:t>
            </w:r>
            <w:r>
              <w:rPr>
                <w:lang w:val="en-GB"/>
              </w:rPr>
              <w:br/>
              <w:t>94%</w:t>
            </w:r>
          </w:p>
          <w:p w:rsidR="004A31B6" w:rsidRPr="007B79A8" w:rsidRDefault="00072D75" w:rsidP="00F37D1F">
            <w:pPr>
              <w:pStyle w:val="CCLtdNormal"/>
              <w:spacing w:before="40" w:after="40"/>
              <w:ind w:left="0"/>
              <w:rPr>
                <w:lang w:val="en-GB"/>
              </w:rPr>
            </w:pPr>
            <w:r w:rsidRPr="007B79A8">
              <w:rPr>
                <w:lang w:val="en-GB"/>
              </w:rPr>
              <w:t xml:space="preserve">Least deprived </w:t>
            </w:r>
            <w:r>
              <w:rPr>
                <w:lang w:val="en-GB"/>
              </w:rPr>
              <w:br/>
              <w:t>90%</w:t>
            </w:r>
          </w:p>
        </w:tc>
      </w:tr>
      <w:tr w:rsidR="004A31B6" w:rsidRPr="00501DEB" w:rsidTr="00072D75">
        <w:tc>
          <w:tcPr>
            <w:tcW w:w="2111" w:type="dxa"/>
            <w:shd w:val="clear" w:color="auto" w:fill="auto"/>
          </w:tcPr>
          <w:p w:rsidR="004A31B6" w:rsidRPr="007B79A8" w:rsidRDefault="004A31B6" w:rsidP="00F37D1F">
            <w:pPr>
              <w:pStyle w:val="CCLtdNormal"/>
              <w:spacing w:before="40" w:after="40"/>
              <w:ind w:left="0"/>
              <w:rPr>
                <w:lang w:val="en-GB"/>
              </w:rPr>
            </w:pPr>
            <w:r w:rsidRPr="007B79A8">
              <w:rPr>
                <w:lang w:val="en-GB"/>
              </w:rPr>
              <w:t>…made me feel more connected to the stories of Hull and its people’</w:t>
            </w:r>
          </w:p>
        </w:tc>
        <w:tc>
          <w:tcPr>
            <w:tcW w:w="1542" w:type="dxa"/>
            <w:shd w:val="clear" w:color="auto" w:fill="auto"/>
          </w:tcPr>
          <w:p w:rsidR="004A31B6" w:rsidRPr="007B79A8" w:rsidRDefault="004A31B6" w:rsidP="00F37D1F">
            <w:pPr>
              <w:pStyle w:val="CCLtdNormal"/>
              <w:spacing w:before="40" w:after="40"/>
              <w:ind w:left="0"/>
              <w:rPr>
                <w:lang w:val="en-GB"/>
              </w:rPr>
            </w:pPr>
            <w:r w:rsidRPr="007B79A8">
              <w:rPr>
                <w:lang w:val="en-GB"/>
              </w:rPr>
              <w:t xml:space="preserve">16-34 years </w:t>
            </w:r>
            <w:r w:rsidR="00DB1FC6" w:rsidRPr="007B79A8">
              <w:rPr>
                <w:lang w:val="en-GB"/>
              </w:rPr>
              <w:t>69%</w:t>
            </w:r>
          </w:p>
          <w:p w:rsidR="004A31B6" w:rsidRPr="007B79A8" w:rsidRDefault="004A31B6" w:rsidP="00F37D1F">
            <w:pPr>
              <w:pStyle w:val="CCLtdNormal"/>
              <w:spacing w:before="40" w:after="40"/>
              <w:ind w:left="0"/>
              <w:rPr>
                <w:lang w:val="en-GB"/>
              </w:rPr>
            </w:pPr>
            <w:r w:rsidRPr="007B79A8">
              <w:rPr>
                <w:lang w:val="en-GB"/>
              </w:rPr>
              <w:t xml:space="preserve">35-54 years </w:t>
            </w:r>
            <w:r w:rsidR="00DB1FC6" w:rsidRPr="007B79A8">
              <w:rPr>
                <w:lang w:val="en-GB"/>
              </w:rPr>
              <w:t>57%</w:t>
            </w:r>
          </w:p>
          <w:p w:rsidR="004A31B6" w:rsidRPr="007B79A8" w:rsidRDefault="004A31B6" w:rsidP="00F37D1F">
            <w:pPr>
              <w:pStyle w:val="CCLtdNormal"/>
              <w:spacing w:before="40" w:after="40"/>
              <w:ind w:left="0"/>
              <w:rPr>
                <w:lang w:val="en-GB"/>
              </w:rPr>
            </w:pPr>
            <w:r w:rsidRPr="007B79A8">
              <w:rPr>
                <w:lang w:val="en-GB"/>
              </w:rPr>
              <w:t xml:space="preserve">55+ years </w:t>
            </w:r>
            <w:r w:rsidR="00DB1FC6" w:rsidRPr="007B79A8">
              <w:rPr>
                <w:lang w:val="en-GB"/>
              </w:rPr>
              <w:t>71%</w:t>
            </w:r>
          </w:p>
        </w:tc>
        <w:tc>
          <w:tcPr>
            <w:tcW w:w="1370" w:type="dxa"/>
          </w:tcPr>
          <w:p w:rsidR="004A31B6" w:rsidRPr="007B79A8" w:rsidRDefault="004A31B6" w:rsidP="00F37D1F">
            <w:pPr>
              <w:pStyle w:val="CCLtdNormal"/>
              <w:spacing w:before="40" w:after="40"/>
              <w:ind w:left="0"/>
              <w:rPr>
                <w:lang w:val="en-GB"/>
              </w:rPr>
            </w:pPr>
            <w:r w:rsidRPr="007B79A8">
              <w:rPr>
                <w:lang w:val="en-GB"/>
              </w:rPr>
              <w:t>N/A</w:t>
            </w:r>
          </w:p>
        </w:tc>
        <w:tc>
          <w:tcPr>
            <w:tcW w:w="1498" w:type="dxa"/>
          </w:tcPr>
          <w:p w:rsidR="004A31B6" w:rsidRPr="007B79A8" w:rsidRDefault="00194FAC" w:rsidP="00F37D1F">
            <w:pPr>
              <w:pStyle w:val="CCLtdNormal"/>
              <w:spacing w:before="40" w:after="40"/>
              <w:ind w:left="0"/>
              <w:rPr>
                <w:lang w:val="en-GB"/>
              </w:rPr>
            </w:pPr>
            <w:r w:rsidRPr="007B79A8">
              <w:rPr>
                <w:lang w:val="en-GB"/>
              </w:rPr>
              <w:t>N/A</w:t>
            </w:r>
          </w:p>
        </w:tc>
        <w:tc>
          <w:tcPr>
            <w:tcW w:w="2126" w:type="dxa"/>
          </w:tcPr>
          <w:p w:rsidR="004A31B6" w:rsidRPr="007B79A8" w:rsidRDefault="004A31B6" w:rsidP="00F37D1F">
            <w:pPr>
              <w:pStyle w:val="CCLtdNormal"/>
              <w:spacing w:before="40" w:after="40"/>
              <w:ind w:left="0"/>
              <w:rPr>
                <w:lang w:val="en-GB"/>
              </w:rPr>
            </w:pPr>
          </w:p>
        </w:tc>
      </w:tr>
      <w:tr w:rsidR="00072D75" w:rsidRPr="00501DEB" w:rsidTr="00072D75">
        <w:tc>
          <w:tcPr>
            <w:tcW w:w="2111" w:type="dxa"/>
            <w:shd w:val="clear" w:color="auto" w:fill="auto"/>
          </w:tcPr>
          <w:p w:rsidR="00072D75" w:rsidRPr="007B79A8" w:rsidRDefault="00072D75" w:rsidP="00F37D1F">
            <w:pPr>
              <w:pStyle w:val="CCLtdNormal"/>
              <w:spacing w:before="40" w:after="40"/>
              <w:ind w:left="0"/>
              <w:rPr>
                <w:lang w:val="en-GB"/>
              </w:rPr>
            </w:pPr>
            <w:r w:rsidRPr="007B79A8">
              <w:rPr>
                <w:lang w:val="en-GB"/>
              </w:rPr>
              <w:t xml:space="preserve">…gave me the opportunity to interact with other people who I normally wouldn’t have interacted with’ </w:t>
            </w:r>
          </w:p>
        </w:tc>
        <w:tc>
          <w:tcPr>
            <w:tcW w:w="1542" w:type="dxa"/>
            <w:shd w:val="clear" w:color="auto" w:fill="auto"/>
          </w:tcPr>
          <w:p w:rsidR="00072D75" w:rsidRPr="007B79A8" w:rsidRDefault="00072D75" w:rsidP="00F37D1F">
            <w:pPr>
              <w:pStyle w:val="CCLtdNormal"/>
              <w:spacing w:before="40" w:after="40"/>
              <w:ind w:left="0"/>
              <w:rPr>
                <w:lang w:val="en-GB"/>
              </w:rPr>
            </w:pPr>
            <w:r w:rsidRPr="007B79A8">
              <w:rPr>
                <w:lang w:val="en-GB"/>
              </w:rPr>
              <w:t>16-34 years 62%</w:t>
            </w:r>
          </w:p>
          <w:p w:rsidR="00072D75" w:rsidRPr="007B79A8" w:rsidRDefault="00072D75" w:rsidP="00F37D1F">
            <w:pPr>
              <w:pStyle w:val="CCLtdNormal"/>
              <w:spacing w:before="40" w:after="40"/>
              <w:ind w:left="0"/>
              <w:rPr>
                <w:lang w:val="en-GB"/>
              </w:rPr>
            </w:pPr>
            <w:r w:rsidRPr="007B79A8">
              <w:rPr>
                <w:lang w:val="en-GB"/>
              </w:rPr>
              <w:t>35-54 years 57%</w:t>
            </w:r>
          </w:p>
          <w:p w:rsidR="00072D75" w:rsidRPr="007B79A8" w:rsidRDefault="00072D75" w:rsidP="00F37D1F">
            <w:pPr>
              <w:pStyle w:val="CCLtdNormal"/>
              <w:spacing w:before="40" w:after="40"/>
              <w:ind w:left="0"/>
              <w:rPr>
                <w:lang w:val="en-GB"/>
              </w:rPr>
            </w:pPr>
            <w:r w:rsidRPr="007B79A8">
              <w:rPr>
                <w:lang w:val="en-GB"/>
              </w:rPr>
              <w:t>55+ years 69%</w:t>
            </w:r>
          </w:p>
        </w:tc>
        <w:tc>
          <w:tcPr>
            <w:tcW w:w="1370" w:type="dxa"/>
          </w:tcPr>
          <w:p w:rsidR="00072D75" w:rsidRPr="007B79A8" w:rsidRDefault="00072D75" w:rsidP="00F37D1F">
            <w:pPr>
              <w:pStyle w:val="CCLtdNormal"/>
              <w:spacing w:before="40" w:after="40"/>
              <w:ind w:left="0"/>
              <w:rPr>
                <w:lang w:val="en-GB"/>
              </w:rPr>
            </w:pPr>
            <w:r w:rsidRPr="007B79A8">
              <w:rPr>
                <w:lang w:val="en-GB"/>
              </w:rPr>
              <w:t>Male</w:t>
            </w:r>
            <w:r w:rsidRPr="007B79A8">
              <w:rPr>
                <w:lang w:val="en-GB"/>
              </w:rPr>
              <w:br/>
              <w:t>60%</w:t>
            </w:r>
          </w:p>
          <w:p w:rsidR="00072D75" w:rsidRPr="007B79A8" w:rsidRDefault="00072D75" w:rsidP="00F37D1F">
            <w:pPr>
              <w:pStyle w:val="CCLtdNormal"/>
              <w:spacing w:before="40" w:after="40"/>
              <w:ind w:left="0"/>
              <w:rPr>
                <w:lang w:val="en-GB"/>
              </w:rPr>
            </w:pPr>
            <w:r w:rsidRPr="007B79A8">
              <w:rPr>
                <w:lang w:val="en-GB"/>
              </w:rPr>
              <w:t>Female</w:t>
            </w:r>
            <w:r w:rsidRPr="007B79A8">
              <w:rPr>
                <w:lang w:val="en-GB"/>
              </w:rPr>
              <w:br/>
              <w:t>65%</w:t>
            </w:r>
          </w:p>
        </w:tc>
        <w:tc>
          <w:tcPr>
            <w:tcW w:w="1498" w:type="dxa"/>
          </w:tcPr>
          <w:p w:rsidR="00072D75" w:rsidRPr="007B79A8" w:rsidRDefault="00072D75" w:rsidP="00F37D1F">
            <w:pPr>
              <w:pStyle w:val="CCLtdNormal"/>
              <w:spacing w:before="40" w:after="40"/>
              <w:ind w:left="0"/>
              <w:rPr>
                <w:lang w:val="en-GB"/>
              </w:rPr>
            </w:pPr>
            <w:r w:rsidRPr="007B79A8">
              <w:rPr>
                <w:lang w:val="en-GB"/>
              </w:rPr>
              <w:t xml:space="preserve">Hull </w:t>
            </w:r>
            <w:r w:rsidRPr="007B79A8">
              <w:rPr>
                <w:lang w:val="en-GB"/>
              </w:rPr>
              <w:br/>
              <w:t>66%</w:t>
            </w:r>
          </w:p>
          <w:p w:rsidR="00072D75" w:rsidRPr="007B79A8" w:rsidRDefault="00072D75" w:rsidP="00F37D1F">
            <w:pPr>
              <w:pStyle w:val="CCLtdNormal"/>
              <w:spacing w:before="40" w:after="40"/>
              <w:ind w:left="0"/>
              <w:rPr>
                <w:lang w:val="en-GB"/>
              </w:rPr>
            </w:pPr>
            <w:r w:rsidRPr="007B79A8">
              <w:rPr>
                <w:lang w:val="en-GB"/>
              </w:rPr>
              <w:t>East Riding</w:t>
            </w:r>
            <w:r w:rsidRPr="007B79A8">
              <w:rPr>
                <w:lang w:val="en-GB"/>
              </w:rPr>
              <w:br/>
              <w:t>63%</w:t>
            </w:r>
          </w:p>
          <w:p w:rsidR="00072D75" w:rsidRPr="007B79A8" w:rsidRDefault="00072D75" w:rsidP="00F37D1F">
            <w:pPr>
              <w:pStyle w:val="CCLtdNormal"/>
              <w:spacing w:before="40" w:after="40"/>
              <w:ind w:left="0"/>
              <w:rPr>
                <w:lang w:val="en-GB"/>
              </w:rPr>
            </w:pPr>
            <w:r w:rsidRPr="007B79A8">
              <w:rPr>
                <w:lang w:val="en-GB"/>
              </w:rPr>
              <w:t xml:space="preserve">Rest of UK </w:t>
            </w:r>
            <w:r w:rsidRPr="007B79A8">
              <w:rPr>
                <w:lang w:val="en-GB"/>
              </w:rPr>
              <w:br/>
              <w:t>55%</w:t>
            </w:r>
          </w:p>
        </w:tc>
        <w:tc>
          <w:tcPr>
            <w:tcW w:w="2126" w:type="dxa"/>
          </w:tcPr>
          <w:p w:rsidR="00072D75" w:rsidRPr="007B79A8" w:rsidRDefault="00072D75" w:rsidP="00F37D1F">
            <w:pPr>
              <w:pStyle w:val="CCLtdNormal"/>
              <w:spacing w:before="40" w:after="40"/>
              <w:ind w:left="0"/>
              <w:rPr>
                <w:lang w:val="en-GB"/>
              </w:rPr>
            </w:pPr>
            <w:r w:rsidRPr="007B79A8">
              <w:rPr>
                <w:lang w:val="en-GB"/>
              </w:rPr>
              <w:t xml:space="preserve">Most deprived </w:t>
            </w:r>
            <w:r>
              <w:rPr>
                <w:lang w:val="en-GB"/>
              </w:rPr>
              <w:t>73%</w:t>
            </w:r>
          </w:p>
          <w:p w:rsidR="00072D75" w:rsidRPr="007B79A8" w:rsidRDefault="00072D75" w:rsidP="00F37D1F">
            <w:pPr>
              <w:pStyle w:val="CCLtdNormal"/>
              <w:spacing w:before="40" w:after="40"/>
              <w:ind w:left="0"/>
              <w:rPr>
                <w:lang w:val="en-GB"/>
              </w:rPr>
            </w:pPr>
            <w:r w:rsidRPr="007B79A8">
              <w:rPr>
                <w:lang w:val="en-GB"/>
              </w:rPr>
              <w:t>2</w:t>
            </w:r>
            <w:r w:rsidRPr="007B79A8">
              <w:rPr>
                <w:vertAlign w:val="superscript"/>
                <w:lang w:val="en-GB"/>
              </w:rPr>
              <w:t>nd</w:t>
            </w:r>
            <w:r w:rsidRPr="007B79A8">
              <w:rPr>
                <w:lang w:val="en-GB"/>
              </w:rPr>
              <w:t xml:space="preserve"> Most deprived </w:t>
            </w:r>
            <w:r>
              <w:rPr>
                <w:lang w:val="en-GB"/>
              </w:rPr>
              <w:br/>
              <w:t>69%</w:t>
            </w:r>
          </w:p>
          <w:p w:rsidR="00072D75" w:rsidRPr="007B79A8" w:rsidRDefault="00072D75" w:rsidP="00F37D1F">
            <w:pPr>
              <w:pStyle w:val="CCLtdNormal"/>
              <w:spacing w:before="40" w:after="40"/>
              <w:ind w:left="0"/>
              <w:rPr>
                <w:lang w:val="en-GB"/>
              </w:rPr>
            </w:pPr>
            <w:r w:rsidRPr="007B79A8">
              <w:rPr>
                <w:lang w:val="en-GB"/>
              </w:rPr>
              <w:t xml:space="preserve">Least deprived </w:t>
            </w:r>
            <w:r>
              <w:rPr>
                <w:lang w:val="en-GB"/>
              </w:rPr>
              <w:br/>
              <w:t>63%</w:t>
            </w:r>
          </w:p>
        </w:tc>
      </w:tr>
      <w:tr w:rsidR="00072D75" w:rsidRPr="00501DEB" w:rsidTr="00072D75">
        <w:tc>
          <w:tcPr>
            <w:tcW w:w="2111" w:type="dxa"/>
            <w:shd w:val="clear" w:color="auto" w:fill="auto"/>
          </w:tcPr>
          <w:p w:rsidR="00072D75" w:rsidRPr="007B79A8" w:rsidRDefault="00072D75" w:rsidP="00F37D1F">
            <w:pPr>
              <w:pStyle w:val="CCLtdNormal"/>
              <w:spacing w:before="40" w:after="40"/>
              <w:ind w:left="0"/>
              <w:rPr>
                <w:lang w:val="en-GB"/>
              </w:rPr>
            </w:pPr>
            <w:r w:rsidRPr="007B79A8">
              <w:rPr>
                <w:lang w:val="en-GB"/>
              </w:rPr>
              <w:t>…has made me think that getting involved in a project as a volunteer looks like fun’</w:t>
            </w:r>
          </w:p>
        </w:tc>
        <w:tc>
          <w:tcPr>
            <w:tcW w:w="1542" w:type="dxa"/>
            <w:shd w:val="clear" w:color="auto" w:fill="auto"/>
          </w:tcPr>
          <w:p w:rsidR="00072D75" w:rsidRPr="007B79A8" w:rsidRDefault="00072D75" w:rsidP="00F37D1F">
            <w:pPr>
              <w:pStyle w:val="CCLtdNormal"/>
              <w:spacing w:before="40" w:after="40"/>
              <w:ind w:left="0"/>
              <w:rPr>
                <w:lang w:val="en-GB"/>
              </w:rPr>
            </w:pPr>
            <w:r w:rsidRPr="007B79A8">
              <w:rPr>
                <w:lang w:val="en-GB"/>
              </w:rPr>
              <w:t>16-34 years 67%</w:t>
            </w:r>
          </w:p>
          <w:p w:rsidR="00072D75" w:rsidRPr="007B79A8" w:rsidRDefault="00072D75" w:rsidP="00F37D1F">
            <w:pPr>
              <w:pStyle w:val="CCLtdNormal"/>
              <w:spacing w:before="40" w:after="40"/>
              <w:ind w:left="0"/>
              <w:rPr>
                <w:lang w:val="en-GB"/>
              </w:rPr>
            </w:pPr>
            <w:r w:rsidRPr="007B79A8">
              <w:rPr>
                <w:lang w:val="en-GB"/>
              </w:rPr>
              <w:t>35-54 years 60%</w:t>
            </w:r>
          </w:p>
          <w:p w:rsidR="00072D75" w:rsidRPr="007B79A8" w:rsidRDefault="00072D75" w:rsidP="00F37D1F">
            <w:pPr>
              <w:pStyle w:val="CCLtdNormal"/>
              <w:spacing w:before="40" w:after="40"/>
              <w:ind w:left="0"/>
              <w:rPr>
                <w:lang w:val="en-GB"/>
              </w:rPr>
            </w:pPr>
            <w:r w:rsidRPr="007B79A8">
              <w:rPr>
                <w:lang w:val="en-GB"/>
              </w:rPr>
              <w:t>55+ years 54%</w:t>
            </w:r>
          </w:p>
        </w:tc>
        <w:tc>
          <w:tcPr>
            <w:tcW w:w="1370" w:type="dxa"/>
          </w:tcPr>
          <w:p w:rsidR="00072D75" w:rsidRPr="007B79A8" w:rsidRDefault="00072D75" w:rsidP="00F37D1F">
            <w:pPr>
              <w:pStyle w:val="CCLtdNormal"/>
              <w:spacing w:before="40" w:after="40"/>
              <w:ind w:left="0"/>
              <w:rPr>
                <w:lang w:val="en-GB"/>
              </w:rPr>
            </w:pPr>
            <w:r w:rsidRPr="007B79A8">
              <w:rPr>
                <w:lang w:val="en-GB"/>
              </w:rPr>
              <w:t>Male</w:t>
            </w:r>
            <w:r w:rsidRPr="007B79A8">
              <w:rPr>
                <w:lang w:val="en-GB"/>
              </w:rPr>
              <w:br/>
              <w:t>54%</w:t>
            </w:r>
          </w:p>
          <w:p w:rsidR="00072D75" w:rsidRPr="007B79A8" w:rsidRDefault="00072D75" w:rsidP="00F37D1F">
            <w:pPr>
              <w:pStyle w:val="CCLtdNormal"/>
              <w:spacing w:before="40" w:after="40"/>
              <w:ind w:left="0"/>
              <w:rPr>
                <w:lang w:val="en-GB"/>
              </w:rPr>
            </w:pPr>
            <w:r w:rsidRPr="007B79A8">
              <w:rPr>
                <w:lang w:val="en-GB"/>
              </w:rPr>
              <w:t>Female</w:t>
            </w:r>
            <w:r w:rsidRPr="007B79A8">
              <w:rPr>
                <w:lang w:val="en-GB"/>
              </w:rPr>
              <w:br/>
              <w:t>63%</w:t>
            </w:r>
          </w:p>
        </w:tc>
        <w:tc>
          <w:tcPr>
            <w:tcW w:w="1498" w:type="dxa"/>
          </w:tcPr>
          <w:p w:rsidR="00072D75" w:rsidRPr="007B79A8" w:rsidRDefault="00072D75" w:rsidP="00F37D1F">
            <w:pPr>
              <w:pStyle w:val="CCLtdNormal"/>
              <w:spacing w:before="40" w:after="40"/>
              <w:ind w:left="0"/>
              <w:rPr>
                <w:lang w:val="en-GB"/>
              </w:rPr>
            </w:pPr>
            <w:r w:rsidRPr="007B79A8">
              <w:rPr>
                <w:lang w:val="en-GB"/>
              </w:rPr>
              <w:t xml:space="preserve">Hull </w:t>
            </w:r>
            <w:r w:rsidRPr="007B79A8">
              <w:rPr>
                <w:lang w:val="en-GB"/>
              </w:rPr>
              <w:br/>
              <w:t>66%</w:t>
            </w:r>
          </w:p>
          <w:p w:rsidR="00072D75" w:rsidRPr="007B79A8" w:rsidRDefault="00072D75" w:rsidP="00F37D1F">
            <w:pPr>
              <w:pStyle w:val="CCLtdNormal"/>
              <w:spacing w:before="40" w:after="40"/>
              <w:ind w:left="0"/>
              <w:rPr>
                <w:lang w:val="en-GB"/>
              </w:rPr>
            </w:pPr>
            <w:r w:rsidRPr="007B79A8">
              <w:rPr>
                <w:lang w:val="en-GB"/>
              </w:rPr>
              <w:t>East Riding</w:t>
            </w:r>
            <w:r w:rsidRPr="007B79A8">
              <w:rPr>
                <w:lang w:val="en-GB"/>
              </w:rPr>
              <w:br/>
              <w:t>56%</w:t>
            </w:r>
          </w:p>
          <w:p w:rsidR="00072D75" w:rsidRPr="007B79A8" w:rsidRDefault="00072D75" w:rsidP="00F37D1F">
            <w:pPr>
              <w:pStyle w:val="CCLtdNormal"/>
              <w:spacing w:before="40" w:after="40"/>
              <w:ind w:left="0"/>
              <w:rPr>
                <w:lang w:val="en-GB"/>
              </w:rPr>
            </w:pPr>
            <w:r w:rsidRPr="007B79A8">
              <w:rPr>
                <w:lang w:val="en-GB"/>
              </w:rPr>
              <w:t xml:space="preserve">Rest of UK </w:t>
            </w:r>
            <w:r w:rsidRPr="007B79A8">
              <w:rPr>
                <w:lang w:val="en-GB"/>
              </w:rPr>
              <w:br/>
              <w:t>51%</w:t>
            </w:r>
          </w:p>
        </w:tc>
        <w:tc>
          <w:tcPr>
            <w:tcW w:w="2126" w:type="dxa"/>
          </w:tcPr>
          <w:p w:rsidR="00072D75" w:rsidRPr="007B79A8" w:rsidRDefault="00072D75" w:rsidP="00F37D1F">
            <w:pPr>
              <w:pStyle w:val="CCLtdNormal"/>
              <w:spacing w:before="40" w:after="40"/>
              <w:ind w:left="0"/>
              <w:rPr>
                <w:lang w:val="en-GB"/>
              </w:rPr>
            </w:pPr>
            <w:r w:rsidRPr="007B79A8">
              <w:rPr>
                <w:lang w:val="en-GB"/>
              </w:rPr>
              <w:t xml:space="preserve">Most deprived </w:t>
            </w:r>
            <w:r>
              <w:rPr>
                <w:lang w:val="en-GB"/>
              </w:rPr>
              <w:t>76%</w:t>
            </w:r>
          </w:p>
          <w:p w:rsidR="00072D75" w:rsidRPr="007B79A8" w:rsidRDefault="00072D75" w:rsidP="00F37D1F">
            <w:pPr>
              <w:pStyle w:val="CCLtdNormal"/>
              <w:spacing w:before="40" w:after="40"/>
              <w:ind w:left="0"/>
              <w:rPr>
                <w:lang w:val="en-GB"/>
              </w:rPr>
            </w:pPr>
            <w:r w:rsidRPr="007B79A8">
              <w:rPr>
                <w:lang w:val="en-GB"/>
              </w:rPr>
              <w:t>2</w:t>
            </w:r>
            <w:r w:rsidRPr="007B79A8">
              <w:rPr>
                <w:vertAlign w:val="superscript"/>
                <w:lang w:val="en-GB"/>
              </w:rPr>
              <w:t>nd</w:t>
            </w:r>
            <w:r w:rsidRPr="007B79A8">
              <w:rPr>
                <w:lang w:val="en-GB"/>
              </w:rPr>
              <w:t xml:space="preserve"> Most deprived </w:t>
            </w:r>
            <w:r>
              <w:rPr>
                <w:lang w:val="en-GB"/>
              </w:rPr>
              <w:br/>
              <w:t>73%</w:t>
            </w:r>
          </w:p>
          <w:p w:rsidR="00072D75" w:rsidRPr="007B79A8" w:rsidRDefault="00072D75" w:rsidP="00F37D1F">
            <w:pPr>
              <w:pStyle w:val="CCLtdNormal"/>
              <w:spacing w:before="40" w:after="40"/>
              <w:ind w:left="0"/>
              <w:rPr>
                <w:lang w:val="en-GB"/>
              </w:rPr>
            </w:pPr>
            <w:r w:rsidRPr="007B79A8">
              <w:rPr>
                <w:lang w:val="en-GB"/>
              </w:rPr>
              <w:t xml:space="preserve">Least deprived </w:t>
            </w:r>
            <w:r>
              <w:rPr>
                <w:lang w:val="en-GB"/>
              </w:rPr>
              <w:br/>
              <w:t>57%</w:t>
            </w:r>
          </w:p>
        </w:tc>
      </w:tr>
    </w:tbl>
    <w:p w:rsidR="00F37D1F" w:rsidRPr="00501DEB" w:rsidRDefault="00F37D1F" w:rsidP="00F37D1F">
      <w:pPr>
        <w:pStyle w:val="CCLtdNormal"/>
        <w:rPr>
          <w:lang w:val="en-GB"/>
        </w:rPr>
      </w:pPr>
      <w:r>
        <w:rPr>
          <w:lang w:val="en-GB"/>
        </w:rPr>
        <w:br/>
      </w:r>
      <w:r w:rsidRPr="00501DEB">
        <w:rPr>
          <w:lang w:val="en-GB"/>
        </w:rPr>
        <w:t xml:space="preserve">In terms of the level of agreement with the different statements, when comparing a range of demographic factors, it is important to note that there was a significantly </w:t>
      </w:r>
      <w:r w:rsidRPr="00F37D1F">
        <w:rPr>
          <w:lang w:val="en-GB"/>
        </w:rPr>
        <w:t>higher</w:t>
      </w:r>
      <w:r w:rsidRPr="00501DEB">
        <w:rPr>
          <w:lang w:val="en-GB"/>
        </w:rPr>
        <w:t xml:space="preserve"> level of agreement with some statements from certain demographics (see </w:t>
      </w:r>
      <w:r w:rsidRPr="00DB1FC6">
        <w:rPr>
          <w:lang w:val="en-GB"/>
        </w:rPr>
        <w:t xml:space="preserve">Table </w:t>
      </w:r>
      <w:r>
        <w:rPr>
          <w:lang w:val="en-GB"/>
        </w:rPr>
        <w:t>4</w:t>
      </w:r>
      <w:r w:rsidR="00E52FEB">
        <w:rPr>
          <w:lang w:val="en-GB"/>
        </w:rPr>
        <w:t>8</w:t>
      </w:r>
      <w:r>
        <w:rPr>
          <w:lang w:val="en-GB"/>
        </w:rPr>
        <w:t>)</w:t>
      </w:r>
      <w:r w:rsidRPr="00501DEB">
        <w:rPr>
          <w:lang w:val="en-GB"/>
        </w:rPr>
        <w:t>:</w:t>
      </w:r>
    </w:p>
    <w:p w:rsidR="00F37D1F" w:rsidRPr="00501DEB" w:rsidRDefault="00F37D1F" w:rsidP="00F37D1F">
      <w:pPr>
        <w:pStyle w:val="CCLtdBullet1"/>
      </w:pPr>
      <w:r>
        <w:t>Younger audiences (aged 16-34 years) were more likely to agree that Look Up ‘</w:t>
      </w:r>
      <w:r w:rsidRPr="007B79A8">
        <w:t>gave everyone the chance to share and celebrate together’</w:t>
      </w:r>
      <w:r>
        <w:t xml:space="preserve"> and ‘had </w:t>
      </w:r>
      <w:r w:rsidRPr="007B79A8">
        <w:t>made me think that getting involved in a project as a volunteer looks like fun’</w:t>
      </w:r>
      <w:r>
        <w:t>.</w:t>
      </w:r>
    </w:p>
    <w:p w:rsidR="00F37D1F" w:rsidRPr="00501DEB" w:rsidRDefault="00F37D1F" w:rsidP="00F37D1F">
      <w:pPr>
        <w:pStyle w:val="CCLtdBullet1"/>
      </w:pPr>
      <w:r>
        <w:lastRenderedPageBreak/>
        <w:t>Older audiences (aged 55+ years) were most likely to agree that Look Up ‘</w:t>
      </w:r>
      <w:r w:rsidRPr="007B79A8">
        <w:t>made me feel more connected to the stories of Hull and its people’</w:t>
      </w:r>
      <w:r>
        <w:t xml:space="preserve"> and ‘g</w:t>
      </w:r>
      <w:r w:rsidRPr="007B79A8">
        <w:t>ave me the opportunity to interact with other people who I normally wouldn’t have interacted with’</w:t>
      </w:r>
      <w:r>
        <w:t>.</w:t>
      </w:r>
    </w:p>
    <w:p w:rsidR="00F37D1F" w:rsidRDefault="00F37D1F" w:rsidP="00F37D1F">
      <w:pPr>
        <w:pStyle w:val="CCLtdBullet1"/>
      </w:pPr>
      <w:r>
        <w:t xml:space="preserve">Female audiences were more likely to agree that Look Up ‘had </w:t>
      </w:r>
      <w:r w:rsidRPr="007B79A8">
        <w:t>made me think that getting involved in a project as a volunteer looks like fun’</w:t>
      </w:r>
      <w:r>
        <w:t>.</w:t>
      </w:r>
    </w:p>
    <w:p w:rsidR="00F37D1F" w:rsidRPr="00501DEB" w:rsidRDefault="00F37D1F" w:rsidP="00F37D1F">
      <w:pPr>
        <w:pStyle w:val="CCLtdBullet1"/>
      </w:pPr>
      <w:r>
        <w:t>Hull residents were more likely to agree that Look Up ‘and ‘g</w:t>
      </w:r>
      <w:r w:rsidRPr="007B79A8">
        <w:t>ave me the opportunity to interact with other people who I normally wouldn’t have interacted with’</w:t>
      </w:r>
      <w:r>
        <w:t xml:space="preserve"> and ‘had </w:t>
      </w:r>
      <w:r w:rsidRPr="007B79A8">
        <w:t>made me think that getting involved in a project as a volunteer looks like fun’</w:t>
      </w:r>
      <w:r>
        <w:t>.</w:t>
      </w:r>
    </w:p>
    <w:p w:rsidR="00F37D1F" w:rsidRPr="00501DEB" w:rsidRDefault="00F37D1F" w:rsidP="00F37D1F">
      <w:pPr>
        <w:pStyle w:val="CCLtdBullet1"/>
      </w:pPr>
      <w:r>
        <w:t>Audiences from Hull’s most deprived communities were more likely to agree with all value statements about Look Up.</w:t>
      </w:r>
    </w:p>
    <w:p w:rsidR="00F37D1F" w:rsidRPr="00501DEB" w:rsidRDefault="00F37D1F" w:rsidP="00F37D1F">
      <w:pPr>
        <w:pStyle w:val="CCLtdNormal"/>
      </w:pPr>
      <w:r>
        <w:t>These findings suggest that public art programmes have a particularly strong impact, from a society and wellbeing viewpoint, on local residents and those from the city’s most deprived communities. There are also suggestions that recruiting volunteers from amongst the local resident community will be more likely than attracting those from further afield.</w:t>
      </w:r>
    </w:p>
    <w:p w:rsidR="00A405E8" w:rsidRPr="00501DEB" w:rsidRDefault="00A405E8" w:rsidP="00A405E8">
      <w:pPr>
        <w:pStyle w:val="CCLtdSubHeading"/>
      </w:pPr>
      <w:r w:rsidRPr="00501DEB">
        <w:t>Outcomes Explored</w:t>
      </w:r>
    </w:p>
    <w:p w:rsidR="001E3CF2" w:rsidRPr="00501DEB" w:rsidRDefault="00C85074" w:rsidP="00C85074">
      <w:pPr>
        <w:pStyle w:val="CCLtdNormal"/>
        <w:rPr>
          <w:color w:val="FF0000"/>
          <w:lang w:val="en-GB"/>
        </w:rPr>
      </w:pPr>
      <w:r w:rsidRPr="00501DEB">
        <w:rPr>
          <w:lang w:val="en-GB"/>
        </w:rPr>
        <w:t>Feedback from the Focus Groups provided some context to these responses to each value statement. These are looked at in turn in the sections below.</w:t>
      </w:r>
    </w:p>
    <w:p w:rsidR="00C85074" w:rsidRPr="00501DEB" w:rsidRDefault="00C85074" w:rsidP="00A405E8">
      <w:pPr>
        <w:pStyle w:val="CCLtdSubsubheading"/>
      </w:pPr>
      <w:r w:rsidRPr="00501DEB">
        <w:t>Shar</w:t>
      </w:r>
      <w:r w:rsidR="004077A0" w:rsidRPr="00501DEB">
        <w:t>ing</w:t>
      </w:r>
      <w:r w:rsidRPr="00501DEB">
        <w:t xml:space="preserve"> and Celebrat</w:t>
      </w:r>
      <w:r w:rsidR="004077A0" w:rsidRPr="00501DEB">
        <w:t>ing</w:t>
      </w:r>
      <w:r w:rsidRPr="00501DEB">
        <w:t xml:space="preserve"> Together</w:t>
      </w:r>
    </w:p>
    <w:p w:rsidR="00AE5839" w:rsidRPr="00501DEB" w:rsidRDefault="00192E98" w:rsidP="00C85074">
      <w:pPr>
        <w:pStyle w:val="CCLtdNormal"/>
        <w:rPr>
          <w:lang w:val="en-GB"/>
        </w:rPr>
      </w:pPr>
      <w:r w:rsidRPr="00501DEB">
        <w:rPr>
          <w:lang w:val="en-GB"/>
        </w:rPr>
        <w:t xml:space="preserve">Look Up seemed to create moments of shared celebration when the artwork being brought into the space caused a positive disruption. Blade and Paper City were singled out for doing this. </w:t>
      </w:r>
    </w:p>
    <w:p w:rsidR="00C85074" w:rsidRPr="00501DEB" w:rsidRDefault="00AE5839" w:rsidP="00C85074">
      <w:pPr>
        <w:pStyle w:val="CCLtdNormal"/>
        <w:rPr>
          <w:lang w:val="en-GB"/>
        </w:rPr>
      </w:pPr>
      <w:r w:rsidRPr="00501DEB">
        <w:rPr>
          <w:lang w:val="en-GB"/>
        </w:rPr>
        <w:t>With Blade audiences reflected how the installation of the Blade had gone viral on social media, with footage and comments being shared. This was acting as a catalyst for people to venture out to Queen Victoria Square and see the spectacle themselves, sometimes meeting with friends whilst doing so.</w:t>
      </w:r>
    </w:p>
    <w:p w:rsidR="004077A0" w:rsidRPr="00501DEB" w:rsidRDefault="00653C6F" w:rsidP="00C85074">
      <w:pPr>
        <w:pStyle w:val="CCLtdNormal"/>
        <w:jc w:val="center"/>
        <w:rPr>
          <w:color w:val="522887"/>
          <w:lang w:val="en-GB"/>
        </w:rPr>
      </w:pPr>
      <w:r>
        <w:rPr>
          <w:i/>
          <w:color w:val="522887"/>
          <w:lang w:val="en-GB"/>
        </w:rPr>
        <w:t>“</w:t>
      </w:r>
      <w:r w:rsidR="00C85074" w:rsidRPr="00501DEB">
        <w:rPr>
          <w:i/>
          <w:color w:val="522887"/>
          <w:lang w:val="en-GB"/>
        </w:rPr>
        <w:t>When the Blade turned up one morning. I got up, having a cup of tea, put my Facebook on and someone put this thing on, "What's this happening in town?" I thought, “Hang on a minute”, I got my gear out when I saw it, and just watched it, just coming into the town centre, and bumped into a couple of people I know and it was just amazing seeing that there. And then, I mean I wouldn’t have even minded it staying there because I</w:t>
      </w:r>
      <w:r>
        <w:rPr>
          <w:i/>
          <w:color w:val="522887"/>
          <w:lang w:val="en-GB"/>
        </w:rPr>
        <w:t xml:space="preserve"> found it absolutely fantastic.”</w:t>
      </w:r>
      <w:r w:rsidR="00C85074" w:rsidRPr="00501DEB">
        <w:rPr>
          <w:i/>
          <w:color w:val="522887"/>
          <w:lang w:val="en-GB"/>
        </w:rPr>
        <w:br/>
      </w:r>
      <w:r w:rsidR="00C85074" w:rsidRPr="00501DEB">
        <w:rPr>
          <w:color w:val="522887"/>
          <w:lang w:val="en-GB"/>
        </w:rPr>
        <w:t>(Focus Group Member)</w:t>
      </w:r>
    </w:p>
    <w:p w:rsidR="00AE5839" w:rsidRPr="00501DEB" w:rsidRDefault="00653C6F" w:rsidP="004077A0">
      <w:pPr>
        <w:pStyle w:val="CCLtdNormal"/>
        <w:jc w:val="center"/>
        <w:rPr>
          <w:color w:val="522887"/>
          <w:lang w:val="en-GB"/>
        </w:rPr>
      </w:pPr>
      <w:r>
        <w:rPr>
          <w:i/>
          <w:color w:val="522887"/>
          <w:lang w:val="en-GB"/>
        </w:rPr>
        <w:lastRenderedPageBreak/>
        <w:t>“</w:t>
      </w:r>
      <w:r w:rsidR="004077A0" w:rsidRPr="00501DEB">
        <w:rPr>
          <w:i/>
          <w:color w:val="522887"/>
          <w:lang w:val="en-GB"/>
        </w:rPr>
        <w:t xml:space="preserve">Yeah a friend texted me at like six in the morning, and he </w:t>
      </w:r>
      <w:r>
        <w:rPr>
          <w:i/>
          <w:color w:val="522887"/>
          <w:lang w:val="en-GB"/>
        </w:rPr>
        <w:t>was in Queen Victoria's Square.”</w:t>
      </w:r>
      <w:r w:rsidR="004077A0" w:rsidRPr="00501DEB">
        <w:rPr>
          <w:i/>
          <w:color w:val="522887"/>
          <w:lang w:val="en-GB"/>
        </w:rPr>
        <w:br/>
      </w:r>
      <w:r w:rsidR="004077A0" w:rsidRPr="00501DEB">
        <w:rPr>
          <w:color w:val="522887"/>
          <w:lang w:val="en-GB"/>
        </w:rPr>
        <w:t>(Focus Group Member)</w:t>
      </w:r>
    </w:p>
    <w:p w:rsidR="004077A0" w:rsidRPr="00501DEB" w:rsidRDefault="00AE5839" w:rsidP="00AE5839">
      <w:pPr>
        <w:pStyle w:val="CCLtdNormal"/>
        <w:rPr>
          <w:lang w:val="en-GB"/>
        </w:rPr>
      </w:pPr>
      <w:r w:rsidRPr="00501DEB">
        <w:rPr>
          <w:lang w:val="en-GB"/>
        </w:rPr>
        <w:t>Regarding Paper City, audiences spoke of how the Fruit Market had been brought to life with colour a concentration of people.</w:t>
      </w:r>
    </w:p>
    <w:p w:rsidR="008307D7" w:rsidRPr="00501DEB" w:rsidRDefault="00B6107A" w:rsidP="008307D7">
      <w:pPr>
        <w:pStyle w:val="CCLtdNormal"/>
        <w:jc w:val="center"/>
        <w:rPr>
          <w:i/>
          <w:color w:val="522887"/>
          <w:lang w:val="en-GB"/>
        </w:rPr>
      </w:pPr>
      <w:r>
        <w:rPr>
          <w:i/>
          <w:color w:val="522887"/>
          <w:lang w:val="en-GB"/>
        </w:rPr>
        <w:t>“</w:t>
      </w:r>
      <w:r w:rsidR="008307D7" w:rsidRPr="00501DEB">
        <w:rPr>
          <w:i/>
          <w:color w:val="522887"/>
          <w:lang w:val="en-GB"/>
        </w:rPr>
        <w:t>It was just the buzz, a lot of people around, other things going on which again we're nev</w:t>
      </w:r>
      <w:r>
        <w:rPr>
          <w:i/>
          <w:color w:val="522887"/>
          <w:lang w:val="en-GB"/>
        </w:rPr>
        <w:t>er used to getting around here.”</w:t>
      </w:r>
      <w:r w:rsidR="008307D7" w:rsidRPr="00501DEB">
        <w:rPr>
          <w:i/>
          <w:color w:val="522887"/>
          <w:lang w:val="en-GB"/>
        </w:rPr>
        <w:br/>
      </w:r>
      <w:r w:rsidR="008307D7" w:rsidRPr="00501DEB">
        <w:rPr>
          <w:color w:val="522887"/>
          <w:lang w:val="en-GB"/>
        </w:rPr>
        <w:t>(Focus Group Member)</w:t>
      </w:r>
    </w:p>
    <w:p w:rsidR="007F6D8C" w:rsidRPr="00501DEB" w:rsidRDefault="007F6D8C" w:rsidP="00A405E8">
      <w:pPr>
        <w:pStyle w:val="CCLtdSubsubheading"/>
      </w:pPr>
      <w:r w:rsidRPr="00501DEB">
        <w:t>Emotional Response</w:t>
      </w:r>
    </w:p>
    <w:p w:rsidR="007F6D8C" w:rsidRPr="00501DEB" w:rsidRDefault="007F6D8C" w:rsidP="007F6D8C">
      <w:pPr>
        <w:pStyle w:val="CCLtdNormal"/>
        <w:rPr>
          <w:lang w:val="en-GB"/>
        </w:rPr>
      </w:pPr>
      <w:r w:rsidRPr="00501DEB">
        <w:rPr>
          <w:lang w:val="en-GB"/>
        </w:rPr>
        <w:t>It was clear from focus groups with audiences that many of the Look Up artworks had inspired an emotional response, which some audience members found surprising.</w:t>
      </w:r>
    </w:p>
    <w:p w:rsidR="007F6D8C" w:rsidRDefault="00B6107A" w:rsidP="007F6D8C">
      <w:pPr>
        <w:pStyle w:val="CCLtdNormal"/>
        <w:jc w:val="center"/>
        <w:rPr>
          <w:color w:val="522887"/>
          <w:lang w:val="en-GB"/>
        </w:rPr>
      </w:pPr>
      <w:r>
        <w:rPr>
          <w:i/>
          <w:color w:val="522887"/>
          <w:lang w:val="en-GB"/>
        </w:rPr>
        <w:t>“</w:t>
      </w:r>
      <w:r w:rsidR="007F6D8C" w:rsidRPr="00501DEB">
        <w:rPr>
          <w:i/>
          <w:color w:val="522887"/>
          <w:lang w:val="en-GB"/>
        </w:rPr>
        <w:t>You'd never have predicted that, would you? You'd think someone put a stick [blade] of a wind turbine across the square, and you'll feel all emotional, and all wonderful. You'd never have predicted that. Not</w:t>
      </w:r>
      <w:r>
        <w:rPr>
          <w:i/>
          <w:color w:val="522887"/>
          <w:lang w:val="en-GB"/>
        </w:rPr>
        <w:t xml:space="preserve"> in a million years, would you?”</w:t>
      </w:r>
      <w:r w:rsidR="007F6D8C" w:rsidRPr="00501DEB">
        <w:rPr>
          <w:i/>
          <w:color w:val="522887"/>
          <w:lang w:val="en-GB"/>
        </w:rPr>
        <w:br/>
      </w:r>
      <w:r w:rsidR="007F6D8C" w:rsidRPr="00501DEB">
        <w:rPr>
          <w:color w:val="522887"/>
          <w:lang w:val="en-GB"/>
        </w:rPr>
        <w:t>(Focus Group Member)</w:t>
      </w:r>
    </w:p>
    <w:p w:rsidR="007F6D8C" w:rsidRPr="00501DEB" w:rsidRDefault="007F6D8C" w:rsidP="007F6D8C">
      <w:pPr>
        <w:pStyle w:val="CCLtdNormal"/>
        <w:rPr>
          <w:lang w:val="en-GB"/>
        </w:rPr>
      </w:pPr>
      <w:r w:rsidRPr="00501DEB">
        <w:rPr>
          <w:lang w:val="en-GB"/>
        </w:rPr>
        <w:t>Other audience members expected to have an</w:t>
      </w:r>
      <w:r w:rsidR="00501DEB" w:rsidRPr="00501DEB">
        <w:rPr>
          <w:lang w:val="en-GB"/>
        </w:rPr>
        <w:t xml:space="preserve"> emotional reaction to artworks, though found it a challenge to verbalise the exact emotions they felt.</w:t>
      </w:r>
    </w:p>
    <w:p w:rsidR="007F6D8C" w:rsidRPr="00501DEB" w:rsidRDefault="00B6107A" w:rsidP="007F6D8C">
      <w:pPr>
        <w:pStyle w:val="CCLtdNormal"/>
        <w:numPr>
          <w:ilvl w:val="0"/>
          <w:numId w:val="21"/>
        </w:numPr>
        <w:jc w:val="center"/>
        <w:rPr>
          <w:i/>
          <w:color w:val="522887"/>
          <w:lang w:val="en-GB"/>
        </w:rPr>
      </w:pPr>
      <w:r>
        <w:rPr>
          <w:i/>
          <w:color w:val="522887"/>
          <w:lang w:val="en-GB"/>
        </w:rPr>
        <w:t>“</w:t>
      </w:r>
      <w:r w:rsidR="007F6D8C" w:rsidRPr="00501DEB">
        <w:rPr>
          <w:i/>
          <w:color w:val="522887"/>
          <w:lang w:val="en-GB"/>
        </w:rPr>
        <w:t>When I went down [to Blade] with my son, because I think you do get an emotional reaction to art or any installation, so we went down to see how it made us … feel, which was quite an interesting reaction to it because it did make you, fe</w:t>
      </w:r>
      <w:r>
        <w:rPr>
          <w:i/>
          <w:color w:val="522887"/>
          <w:lang w:val="en-GB"/>
        </w:rPr>
        <w:t>el small, not unimportant but …”</w:t>
      </w:r>
      <w:r w:rsidR="007F6D8C" w:rsidRPr="00501DEB">
        <w:rPr>
          <w:i/>
          <w:color w:val="522887"/>
          <w:lang w:val="en-GB"/>
        </w:rPr>
        <w:br/>
      </w:r>
      <w:r w:rsidR="007F6D8C" w:rsidRPr="00501DEB">
        <w:rPr>
          <w:color w:val="522887"/>
          <w:lang w:val="en-GB"/>
        </w:rPr>
        <w:t>(Focus Group Member)</w:t>
      </w:r>
    </w:p>
    <w:p w:rsidR="007F6D8C" w:rsidRPr="00501DEB" w:rsidRDefault="00B6107A" w:rsidP="007F6D8C">
      <w:pPr>
        <w:pStyle w:val="CCLtdNormal"/>
        <w:numPr>
          <w:ilvl w:val="0"/>
          <w:numId w:val="21"/>
        </w:numPr>
        <w:jc w:val="center"/>
        <w:rPr>
          <w:color w:val="522887"/>
          <w:lang w:val="en-GB"/>
        </w:rPr>
      </w:pPr>
      <w:r>
        <w:rPr>
          <w:i/>
          <w:color w:val="522887"/>
          <w:lang w:val="en-GB"/>
        </w:rPr>
        <w:t>“It's intimidating in a way.”</w:t>
      </w:r>
      <w:r w:rsidR="007F6D8C" w:rsidRPr="00501DEB">
        <w:rPr>
          <w:i/>
          <w:color w:val="522887"/>
          <w:lang w:val="en-GB"/>
        </w:rPr>
        <w:br/>
      </w:r>
      <w:r w:rsidR="007F6D8C" w:rsidRPr="00501DEB">
        <w:rPr>
          <w:color w:val="522887"/>
          <w:lang w:val="en-GB"/>
        </w:rPr>
        <w:t>(Focus Group Member)</w:t>
      </w:r>
    </w:p>
    <w:p w:rsidR="007F6D8C" w:rsidRPr="00501DEB" w:rsidRDefault="00B6107A" w:rsidP="007F6D8C">
      <w:pPr>
        <w:pStyle w:val="CCLtdNormal"/>
        <w:numPr>
          <w:ilvl w:val="0"/>
          <w:numId w:val="21"/>
        </w:numPr>
        <w:jc w:val="center"/>
        <w:rPr>
          <w:color w:val="522887"/>
          <w:lang w:val="en-GB"/>
        </w:rPr>
      </w:pPr>
      <w:r>
        <w:rPr>
          <w:i/>
          <w:color w:val="522887"/>
          <w:lang w:val="en-GB"/>
        </w:rPr>
        <w:t>“</w:t>
      </w:r>
      <w:r w:rsidR="007F6D8C" w:rsidRPr="00501DEB">
        <w:rPr>
          <w:i/>
          <w:color w:val="522887"/>
          <w:lang w:val="en-GB"/>
        </w:rPr>
        <w:t>In some ways. Maybe, well maybe not intimidating but maybe because I didn’t feel frightened of it or negative towards it, I just felt really positive towards it.</w:t>
      </w:r>
      <w:r>
        <w:rPr>
          <w:i/>
          <w:color w:val="522887"/>
          <w:lang w:val="en-GB"/>
        </w:rPr>
        <w:t>”</w:t>
      </w:r>
      <w:r w:rsidR="007F6D8C" w:rsidRPr="00501DEB">
        <w:rPr>
          <w:i/>
          <w:color w:val="522887"/>
          <w:lang w:val="en-GB"/>
        </w:rPr>
        <w:t xml:space="preserve"> </w:t>
      </w:r>
      <w:r w:rsidR="007F6D8C" w:rsidRPr="00501DEB">
        <w:rPr>
          <w:i/>
          <w:color w:val="522887"/>
          <w:lang w:val="en-GB"/>
        </w:rPr>
        <w:br/>
      </w:r>
      <w:r w:rsidR="007F6D8C" w:rsidRPr="00501DEB">
        <w:rPr>
          <w:color w:val="522887"/>
          <w:lang w:val="en-GB"/>
        </w:rPr>
        <w:t>(Focus Group Member)</w:t>
      </w:r>
    </w:p>
    <w:p w:rsidR="007F6D8C" w:rsidRDefault="00B6107A" w:rsidP="007F6D8C">
      <w:pPr>
        <w:pStyle w:val="CCLtdNormal"/>
        <w:jc w:val="center"/>
        <w:rPr>
          <w:color w:val="522887"/>
          <w:lang w:val="en-GB"/>
        </w:rPr>
      </w:pPr>
      <w:r>
        <w:rPr>
          <w:i/>
          <w:color w:val="522887"/>
          <w:lang w:val="en-GB"/>
        </w:rPr>
        <w:t>“</w:t>
      </w:r>
      <w:r w:rsidR="007F6D8C" w:rsidRPr="00501DEB">
        <w:rPr>
          <w:i/>
          <w:color w:val="522887"/>
          <w:lang w:val="en-GB"/>
        </w:rPr>
        <w:t>[Look Up] is just about different ways of looking at things … it's not just about like looking up at the skies. It's looking up from your own p</w:t>
      </w:r>
      <w:r>
        <w:rPr>
          <w:i/>
          <w:color w:val="522887"/>
          <w:lang w:val="en-GB"/>
        </w:rPr>
        <w:t>erspective and from your heart.”</w:t>
      </w:r>
      <w:r w:rsidR="007F6D8C" w:rsidRPr="00501DEB">
        <w:rPr>
          <w:i/>
          <w:color w:val="522887"/>
          <w:lang w:val="en-GB"/>
        </w:rPr>
        <w:br/>
      </w:r>
      <w:r w:rsidR="007F6D8C" w:rsidRPr="00501DEB">
        <w:rPr>
          <w:color w:val="522887"/>
          <w:lang w:val="en-GB"/>
        </w:rPr>
        <w:t>(Focus Group Member)</w:t>
      </w:r>
    </w:p>
    <w:p w:rsidR="00563462" w:rsidRPr="00563462" w:rsidRDefault="00B6107A" w:rsidP="00563462">
      <w:pPr>
        <w:pStyle w:val="CCLtdNormal"/>
        <w:jc w:val="center"/>
        <w:rPr>
          <w:color w:val="522887"/>
        </w:rPr>
      </w:pPr>
      <w:r>
        <w:rPr>
          <w:i/>
          <w:color w:val="522887"/>
        </w:rPr>
        <w:t>“</w:t>
      </w:r>
      <w:r w:rsidR="00563462" w:rsidRPr="00563462">
        <w:rPr>
          <w:i/>
          <w:color w:val="522887"/>
        </w:rPr>
        <w:t>I think after having Blade, you kind of wanted something that was significantly big to see again [A Hall for Hull], I suppose that’s the thing of putting quite big things into small space</w:t>
      </w:r>
      <w:r>
        <w:rPr>
          <w:i/>
          <w:color w:val="522887"/>
        </w:rPr>
        <w:t>s, it makes them more dramatic.”</w:t>
      </w:r>
      <w:r w:rsidR="00563462">
        <w:rPr>
          <w:color w:val="522887"/>
        </w:rPr>
        <w:br/>
      </w:r>
      <w:r w:rsidR="00563462" w:rsidRPr="00563462">
        <w:rPr>
          <w:color w:val="522887"/>
        </w:rPr>
        <w:t>(Focus Group Member)</w:t>
      </w:r>
    </w:p>
    <w:p w:rsidR="007F6D8C" w:rsidRPr="00501DEB" w:rsidRDefault="00501DEB" w:rsidP="007F6D8C">
      <w:pPr>
        <w:pStyle w:val="CCLtdNormal"/>
        <w:rPr>
          <w:lang w:val="en-GB"/>
        </w:rPr>
      </w:pPr>
      <w:r>
        <w:rPr>
          <w:lang w:val="en-GB"/>
        </w:rPr>
        <w:lastRenderedPageBreak/>
        <w:t>E</w:t>
      </w:r>
      <w:r w:rsidR="007F6D8C" w:rsidRPr="00501DEB">
        <w:rPr>
          <w:lang w:val="en-GB"/>
        </w:rPr>
        <w:t xml:space="preserve">motions mentioned by audience members </w:t>
      </w:r>
      <w:r>
        <w:rPr>
          <w:lang w:val="en-GB"/>
        </w:rPr>
        <w:t xml:space="preserve">in relation to their reaction to individual artworks </w:t>
      </w:r>
      <w:r w:rsidR="007F6D8C" w:rsidRPr="00501DEB">
        <w:rPr>
          <w:lang w:val="en-GB"/>
        </w:rPr>
        <w:t>included:</w:t>
      </w:r>
    </w:p>
    <w:p w:rsidR="007F6D8C" w:rsidRPr="00501DEB" w:rsidRDefault="007F6D8C" w:rsidP="00501DEB">
      <w:pPr>
        <w:pStyle w:val="CCLtdBullet1"/>
        <w:spacing w:after="0"/>
        <w:ind w:hanging="352"/>
      </w:pPr>
      <w:r w:rsidRPr="00501DEB">
        <w:t>Amazement;</w:t>
      </w:r>
    </w:p>
    <w:p w:rsidR="007F6D8C" w:rsidRPr="00501DEB" w:rsidRDefault="007F6D8C" w:rsidP="00501DEB">
      <w:pPr>
        <w:pStyle w:val="CCLtdBullet1"/>
        <w:spacing w:after="0"/>
        <w:ind w:hanging="352"/>
      </w:pPr>
      <w:r w:rsidRPr="00501DEB">
        <w:t xml:space="preserve">Inspiration; </w:t>
      </w:r>
    </w:p>
    <w:p w:rsidR="007F6D8C" w:rsidRPr="00501DEB" w:rsidRDefault="007F6D8C" w:rsidP="00501DEB">
      <w:pPr>
        <w:pStyle w:val="CCLtdBullet1"/>
        <w:spacing w:after="0"/>
        <w:ind w:hanging="352"/>
      </w:pPr>
      <w:r w:rsidRPr="00501DEB">
        <w:t>Calm;</w:t>
      </w:r>
    </w:p>
    <w:p w:rsidR="007F6D8C" w:rsidRPr="00501DEB" w:rsidRDefault="007F6D8C" w:rsidP="00501DEB">
      <w:pPr>
        <w:pStyle w:val="CCLtdBullet1"/>
        <w:spacing w:after="0"/>
        <w:ind w:hanging="352"/>
      </w:pPr>
      <w:r w:rsidRPr="00501DEB">
        <w:t>Joy; and</w:t>
      </w:r>
    </w:p>
    <w:p w:rsidR="007F6D8C" w:rsidRPr="00501DEB" w:rsidRDefault="007F6D8C" w:rsidP="004F75F5">
      <w:pPr>
        <w:pStyle w:val="CCLtdBullet1"/>
      </w:pPr>
      <w:r w:rsidRPr="00501DEB">
        <w:t>Pride.</w:t>
      </w:r>
    </w:p>
    <w:p w:rsidR="007F6D8C" w:rsidRPr="00501DEB" w:rsidRDefault="007F6D8C" w:rsidP="007F6D8C">
      <w:pPr>
        <w:pStyle w:val="CCLtdNormal"/>
        <w:rPr>
          <w:lang w:val="en-GB"/>
        </w:rPr>
      </w:pPr>
      <w:r w:rsidRPr="00501DEB">
        <w:rPr>
          <w:lang w:val="en-GB"/>
        </w:rPr>
        <w:t>Amazement and inspiration seemed to link more to the large-scale artworks like Blade and Floe, or ones where there was a high level of intricacy like Elephant in the Room, Paper City and Bleached.</w:t>
      </w:r>
    </w:p>
    <w:p w:rsidR="007F6D8C" w:rsidRPr="00B6107A" w:rsidRDefault="00B6107A" w:rsidP="00B6107A">
      <w:pPr>
        <w:pStyle w:val="CCLtdNormal"/>
        <w:jc w:val="center"/>
        <w:rPr>
          <w:i/>
          <w:color w:val="522887"/>
          <w:lang w:val="en-GB"/>
        </w:rPr>
      </w:pPr>
      <w:r>
        <w:rPr>
          <w:i/>
          <w:color w:val="522887"/>
          <w:lang w:val="en-GB"/>
        </w:rPr>
        <w:t>“</w:t>
      </w:r>
      <w:r w:rsidR="007F6D8C" w:rsidRPr="00501DEB">
        <w:rPr>
          <w:i/>
          <w:color w:val="522887"/>
          <w:lang w:val="en-GB"/>
        </w:rPr>
        <w:t>[Blade] coming to [Queen] Victoria Square really blew me away. I know a lot of people didn't like it</w:t>
      </w:r>
      <w:r>
        <w:rPr>
          <w:i/>
          <w:color w:val="522887"/>
          <w:lang w:val="en-GB"/>
        </w:rPr>
        <w:t>, but I thought it was amazing.”</w:t>
      </w:r>
      <w:r w:rsidR="007F6D8C" w:rsidRPr="00501DEB">
        <w:rPr>
          <w:color w:val="522887"/>
          <w:lang w:val="en-GB"/>
        </w:rPr>
        <w:br/>
        <w:t>(Focus Group)</w:t>
      </w:r>
    </w:p>
    <w:p w:rsidR="007F6D8C" w:rsidRDefault="00501DEB" w:rsidP="007F6D8C">
      <w:pPr>
        <w:pStyle w:val="CCLtdNormal"/>
        <w:jc w:val="center"/>
        <w:rPr>
          <w:color w:val="522887"/>
          <w:lang w:val="en-GB"/>
        </w:rPr>
      </w:pPr>
      <w:r w:rsidRPr="00501DEB">
        <w:rPr>
          <w:i/>
          <w:color w:val="522887"/>
          <w:lang w:val="en-GB"/>
        </w:rPr>
        <w:t xml:space="preserve"> </w:t>
      </w:r>
      <w:r w:rsidR="00B6107A">
        <w:rPr>
          <w:i/>
          <w:color w:val="522887"/>
          <w:lang w:val="en-GB"/>
        </w:rPr>
        <w:t>“</w:t>
      </w:r>
      <w:r w:rsidR="007F6D8C" w:rsidRPr="00501DEB">
        <w:rPr>
          <w:i/>
          <w:color w:val="522887"/>
          <w:lang w:val="en-GB"/>
        </w:rPr>
        <w:t>There's something really amazing about seeing a really familiar thing that you know inside out like you do and then seeing it looking completely different. And that is mind blowing.</w:t>
      </w:r>
      <w:r w:rsidR="00B6107A">
        <w:rPr>
          <w:i/>
          <w:color w:val="522887"/>
          <w:lang w:val="en-GB"/>
        </w:rPr>
        <w:t>”</w:t>
      </w:r>
      <w:r w:rsidR="007F6D8C" w:rsidRPr="00501DEB">
        <w:rPr>
          <w:i/>
          <w:color w:val="522887"/>
          <w:lang w:val="en-GB"/>
        </w:rPr>
        <w:br/>
      </w:r>
      <w:r w:rsidR="007F6D8C" w:rsidRPr="00501DEB">
        <w:rPr>
          <w:color w:val="522887"/>
          <w:lang w:val="en-GB"/>
        </w:rPr>
        <w:t>(Focus Group Member)</w:t>
      </w:r>
    </w:p>
    <w:p w:rsidR="00501DEB" w:rsidRPr="00501DEB" w:rsidRDefault="00B6107A" w:rsidP="00501DEB">
      <w:pPr>
        <w:pStyle w:val="CCLtdNormal"/>
        <w:jc w:val="center"/>
        <w:rPr>
          <w:color w:val="522887"/>
          <w:lang w:val="en-GB"/>
        </w:rPr>
      </w:pPr>
      <w:r>
        <w:rPr>
          <w:i/>
          <w:color w:val="522887"/>
          <w:lang w:val="en-GB"/>
        </w:rPr>
        <w:t>“</w:t>
      </w:r>
      <w:r w:rsidR="00501DEB" w:rsidRPr="00501DEB">
        <w:rPr>
          <w:i/>
          <w:color w:val="522887"/>
          <w:lang w:val="en-GB"/>
        </w:rPr>
        <w:t>I was</w:t>
      </w:r>
      <w:r>
        <w:rPr>
          <w:i/>
          <w:color w:val="522887"/>
          <w:lang w:val="en-GB"/>
        </w:rPr>
        <w:t xml:space="preserve"> literally inspired [by Blade].”</w:t>
      </w:r>
      <w:r w:rsidR="00501DEB" w:rsidRPr="00501DEB">
        <w:rPr>
          <w:i/>
          <w:color w:val="522887"/>
          <w:lang w:val="en-GB"/>
        </w:rPr>
        <w:br/>
      </w:r>
      <w:r w:rsidR="00501DEB" w:rsidRPr="00501DEB">
        <w:rPr>
          <w:color w:val="522887"/>
          <w:lang w:val="en-GB"/>
        </w:rPr>
        <w:t>(Focus Group Member)</w:t>
      </w:r>
    </w:p>
    <w:p w:rsidR="007F6D8C" w:rsidRPr="00501DEB" w:rsidRDefault="00B6107A" w:rsidP="007F6D8C">
      <w:pPr>
        <w:pStyle w:val="CCLtdNormal"/>
        <w:tabs>
          <w:tab w:val="left" w:pos="1843"/>
        </w:tabs>
        <w:jc w:val="center"/>
        <w:rPr>
          <w:color w:val="522887"/>
          <w:lang w:val="en-GB"/>
        </w:rPr>
      </w:pPr>
      <w:r>
        <w:rPr>
          <w:i/>
          <w:color w:val="522887"/>
          <w:lang w:val="en-GB"/>
        </w:rPr>
        <w:t>“</w:t>
      </w:r>
      <w:r w:rsidR="007F6D8C" w:rsidRPr="00501DEB">
        <w:rPr>
          <w:i/>
          <w:color w:val="522887"/>
          <w:lang w:val="en-GB"/>
        </w:rPr>
        <w:t>I loved the bit in the smokehouse. Getting the bit of paper that I’ve I got home … The “what's your favourite colour thing”. I loved everything about it … The intricacy of some of those sculptures was amazing.</w:t>
      </w:r>
      <w:r>
        <w:rPr>
          <w:i/>
          <w:color w:val="522887"/>
          <w:lang w:val="en-GB"/>
        </w:rPr>
        <w:t>”</w:t>
      </w:r>
      <w:r w:rsidR="007F6D8C" w:rsidRPr="00501DEB">
        <w:rPr>
          <w:i/>
          <w:color w:val="522887"/>
          <w:lang w:val="en-GB"/>
        </w:rPr>
        <w:br/>
      </w:r>
      <w:r w:rsidR="007F6D8C" w:rsidRPr="00501DEB">
        <w:rPr>
          <w:color w:val="522887"/>
          <w:lang w:val="en-GB"/>
        </w:rPr>
        <w:t>(Focus Group Member)</w:t>
      </w:r>
    </w:p>
    <w:p w:rsidR="007F6D8C" w:rsidRPr="00501DEB" w:rsidRDefault="007F6D8C" w:rsidP="007F6D8C">
      <w:pPr>
        <w:pStyle w:val="CCLtdNormal"/>
        <w:ind w:left="1134"/>
        <w:rPr>
          <w:i/>
          <w:color w:val="522887"/>
          <w:lang w:val="en-GB"/>
        </w:rPr>
      </w:pPr>
      <w:r w:rsidRPr="00501DEB">
        <w:rPr>
          <w:lang w:val="en-GB"/>
        </w:rPr>
        <w:t>For some attendees Paper City was described as a lovely experience that brought with it happiness.</w:t>
      </w:r>
    </w:p>
    <w:p w:rsidR="007F6D8C" w:rsidRPr="00501DEB" w:rsidRDefault="00B6107A" w:rsidP="007F6D8C">
      <w:pPr>
        <w:pStyle w:val="CCLtdNormal"/>
        <w:tabs>
          <w:tab w:val="left" w:pos="1843"/>
        </w:tabs>
        <w:jc w:val="center"/>
        <w:rPr>
          <w:i/>
          <w:color w:val="522887"/>
          <w:lang w:val="en-GB"/>
        </w:rPr>
      </w:pPr>
      <w:r>
        <w:rPr>
          <w:i/>
          <w:color w:val="522887"/>
          <w:lang w:val="en-GB"/>
        </w:rPr>
        <w:t>“</w:t>
      </w:r>
      <w:r w:rsidR="007F6D8C" w:rsidRPr="00501DEB">
        <w:rPr>
          <w:i/>
          <w:color w:val="522887"/>
          <w:lang w:val="en-GB"/>
        </w:rPr>
        <w:t>The woven curtain that was up and with all the doors open and it just wafti</w:t>
      </w:r>
      <w:r>
        <w:rPr>
          <w:i/>
          <w:color w:val="522887"/>
          <w:lang w:val="en-GB"/>
        </w:rPr>
        <w:t>ng in the breeze it was lovely.”</w:t>
      </w:r>
      <w:r w:rsidR="007F6D8C" w:rsidRPr="00501DEB">
        <w:rPr>
          <w:i/>
          <w:color w:val="522887"/>
          <w:lang w:val="en-GB"/>
        </w:rPr>
        <w:br/>
      </w:r>
      <w:r w:rsidR="007F6D8C" w:rsidRPr="00501DEB">
        <w:rPr>
          <w:color w:val="522887"/>
          <w:lang w:val="en-GB"/>
        </w:rPr>
        <w:t>(Focus Group Member)</w:t>
      </w:r>
    </w:p>
    <w:p w:rsidR="007F6D8C" w:rsidRPr="00501DEB" w:rsidRDefault="00B6107A" w:rsidP="007F6D8C">
      <w:pPr>
        <w:pStyle w:val="CCLtdNormal"/>
        <w:jc w:val="center"/>
        <w:rPr>
          <w:color w:val="522887"/>
          <w:lang w:val="en-GB"/>
        </w:rPr>
      </w:pPr>
      <w:r>
        <w:rPr>
          <w:i/>
          <w:color w:val="522887"/>
          <w:lang w:val="en-GB"/>
        </w:rPr>
        <w:t xml:space="preserve"> “It [Paper City] was a joy.”</w:t>
      </w:r>
      <w:r w:rsidR="007F6D8C" w:rsidRPr="00501DEB">
        <w:rPr>
          <w:i/>
          <w:color w:val="522887"/>
          <w:lang w:val="en-GB"/>
        </w:rPr>
        <w:br/>
      </w:r>
      <w:r w:rsidR="007F6D8C" w:rsidRPr="00501DEB">
        <w:rPr>
          <w:color w:val="522887"/>
          <w:lang w:val="en-GB"/>
        </w:rPr>
        <w:t>(Focus Group Member)</w:t>
      </w:r>
    </w:p>
    <w:p w:rsidR="007F6D8C" w:rsidRPr="00501DEB" w:rsidRDefault="00B6107A" w:rsidP="007F6D8C">
      <w:pPr>
        <w:pStyle w:val="CCLtdNormal"/>
        <w:jc w:val="center"/>
        <w:rPr>
          <w:i/>
          <w:color w:val="522887"/>
          <w:lang w:val="en-GB"/>
        </w:rPr>
      </w:pPr>
      <w:r>
        <w:rPr>
          <w:i/>
          <w:color w:val="522887"/>
          <w:lang w:val="en-GB"/>
        </w:rPr>
        <w:t>“</w:t>
      </w:r>
      <w:r w:rsidR="007F6D8C" w:rsidRPr="00501DEB">
        <w:rPr>
          <w:i/>
          <w:color w:val="522887"/>
          <w:lang w:val="en-GB"/>
        </w:rPr>
        <w:t>I hadn't been down Humber Street for such a long time and going down again it was lovely and I had a friend who had recently died who worked in the fruit markets there. He was a wagon driver and it was really emotional to see it lively and vi</w:t>
      </w:r>
      <w:r>
        <w:rPr>
          <w:i/>
          <w:color w:val="522887"/>
          <w:lang w:val="en-GB"/>
        </w:rPr>
        <w:t>brant … Oh it gave you shivers.”</w:t>
      </w:r>
      <w:r w:rsidR="007F6D8C" w:rsidRPr="00501DEB">
        <w:rPr>
          <w:i/>
          <w:color w:val="522887"/>
          <w:lang w:val="en-GB"/>
        </w:rPr>
        <w:br/>
      </w:r>
      <w:r w:rsidR="007F6D8C" w:rsidRPr="00501DEB">
        <w:rPr>
          <w:color w:val="522887"/>
          <w:lang w:val="en-GB"/>
        </w:rPr>
        <w:t>(Focus Group Member)</w:t>
      </w:r>
    </w:p>
    <w:p w:rsidR="007F6D8C" w:rsidRPr="00501DEB" w:rsidRDefault="007F6D8C" w:rsidP="007F6D8C">
      <w:pPr>
        <w:pStyle w:val="CCLtdNormal"/>
        <w:rPr>
          <w:lang w:val="en-GB"/>
        </w:rPr>
      </w:pPr>
      <w:r w:rsidRPr="00501DEB">
        <w:rPr>
          <w:lang w:val="en-GB"/>
        </w:rPr>
        <w:t>Calm was reference</w:t>
      </w:r>
      <w:r w:rsidR="00501DEB">
        <w:rPr>
          <w:lang w:val="en-GB"/>
        </w:rPr>
        <w:t>d</w:t>
      </w:r>
      <w:r w:rsidRPr="00501DEB">
        <w:rPr>
          <w:lang w:val="en-GB"/>
        </w:rPr>
        <w:t xml:space="preserve"> by on</w:t>
      </w:r>
      <w:r w:rsidR="00501DEB">
        <w:rPr>
          <w:lang w:val="en-GB"/>
        </w:rPr>
        <w:t>e</w:t>
      </w:r>
      <w:r w:rsidRPr="00501DEB">
        <w:rPr>
          <w:lang w:val="en-GB"/>
        </w:rPr>
        <w:t xml:space="preserve"> attendee in speaking about how Floe made her feel after having visited another artwork, which had unnerved her.</w:t>
      </w:r>
    </w:p>
    <w:p w:rsidR="00B6107A" w:rsidRDefault="00B6107A" w:rsidP="007F6D8C">
      <w:pPr>
        <w:pStyle w:val="CCLtdNormal"/>
        <w:jc w:val="center"/>
        <w:rPr>
          <w:i/>
          <w:color w:val="522887"/>
          <w:lang w:val="en-GB"/>
        </w:rPr>
      </w:pPr>
    </w:p>
    <w:p w:rsidR="007F6D8C" w:rsidRPr="00501DEB" w:rsidRDefault="00B6107A" w:rsidP="007F6D8C">
      <w:pPr>
        <w:pStyle w:val="CCLtdNormal"/>
        <w:jc w:val="center"/>
        <w:rPr>
          <w:color w:val="522887"/>
          <w:lang w:val="en-GB"/>
        </w:rPr>
      </w:pPr>
      <w:r>
        <w:rPr>
          <w:i/>
          <w:color w:val="522887"/>
          <w:lang w:val="en-GB"/>
        </w:rPr>
        <w:lastRenderedPageBreak/>
        <w:t>“</w:t>
      </w:r>
      <w:r w:rsidR="007F6D8C" w:rsidRPr="00501DEB">
        <w:rPr>
          <w:i/>
          <w:color w:val="522887"/>
          <w:lang w:val="en-GB"/>
        </w:rPr>
        <w:t>So what I found about Floe, was see, I found the light installations [Where Do We Go From Here?] really dystopian and worrying and very unnerving and so I felt that light was being used then to make you feel like big brother is watching. You started to worry a bit really and then I went to Floe and Floe made it feel all lovely again. So it was like suddenly light has been used in a different way too which is much more friendl</w:t>
      </w:r>
      <w:r>
        <w:rPr>
          <w:i/>
          <w:color w:val="522887"/>
          <w:lang w:val="en-GB"/>
        </w:rPr>
        <w:t>y … Warm, beautiful to look at.”</w:t>
      </w:r>
      <w:r w:rsidR="007F6D8C" w:rsidRPr="00501DEB">
        <w:rPr>
          <w:i/>
          <w:color w:val="522887"/>
          <w:lang w:val="en-GB"/>
        </w:rPr>
        <w:br/>
      </w:r>
      <w:r w:rsidR="007F6D8C" w:rsidRPr="00501DEB">
        <w:rPr>
          <w:color w:val="522887"/>
          <w:lang w:val="en-GB"/>
        </w:rPr>
        <w:t>(Focus Group Member)</w:t>
      </w:r>
    </w:p>
    <w:p w:rsidR="007F6D8C" w:rsidRPr="00501DEB" w:rsidRDefault="007F6D8C" w:rsidP="007F6D8C">
      <w:pPr>
        <w:pStyle w:val="CCLtdNormal"/>
        <w:rPr>
          <w:lang w:val="en-GB"/>
        </w:rPr>
      </w:pPr>
      <w:r w:rsidRPr="00501DEB">
        <w:rPr>
          <w:lang w:val="en-GB"/>
        </w:rPr>
        <w:t>Pride was in the discoveries people made about Hull and in reflecting on the industries that the city was now known for. Blade and Paper City were referenced most strongly.</w:t>
      </w:r>
    </w:p>
    <w:p w:rsidR="007F6D8C" w:rsidRPr="00501DEB" w:rsidRDefault="00B6107A" w:rsidP="007F6D8C">
      <w:pPr>
        <w:pStyle w:val="CCLtdNormal"/>
        <w:jc w:val="center"/>
        <w:rPr>
          <w:i/>
          <w:color w:val="522887"/>
          <w:lang w:val="en-GB"/>
        </w:rPr>
      </w:pPr>
      <w:r>
        <w:rPr>
          <w:i/>
          <w:color w:val="522887"/>
          <w:lang w:val="en-GB"/>
        </w:rPr>
        <w:t>“</w:t>
      </w:r>
      <w:r w:rsidR="007F6D8C" w:rsidRPr="00501DEB">
        <w:rPr>
          <w:i/>
          <w:color w:val="522887"/>
          <w:lang w:val="en-GB"/>
        </w:rPr>
        <w:t>I enjoyed the sculpture … For me, it's also learning about the paper factory in Hull, which I didn't know about. That gave</w:t>
      </w:r>
      <w:r>
        <w:rPr>
          <w:i/>
          <w:color w:val="522887"/>
          <w:lang w:val="en-GB"/>
        </w:rPr>
        <w:t xml:space="preserve"> me that sort of pride in Hull.”</w:t>
      </w:r>
      <w:r w:rsidR="007F6D8C" w:rsidRPr="00501DEB">
        <w:rPr>
          <w:i/>
          <w:color w:val="522887"/>
          <w:lang w:val="en-GB"/>
        </w:rPr>
        <w:br/>
      </w:r>
      <w:r w:rsidR="007F6D8C" w:rsidRPr="00501DEB">
        <w:rPr>
          <w:color w:val="522887"/>
          <w:lang w:val="en-GB"/>
        </w:rPr>
        <w:t>(Focus Group Member)</w:t>
      </w:r>
    </w:p>
    <w:p w:rsidR="004077A0" w:rsidRPr="00501DEB" w:rsidRDefault="007F6D8C" w:rsidP="007F6D8C">
      <w:pPr>
        <w:pStyle w:val="CCLtdSubsubheading"/>
      </w:pPr>
      <w:r w:rsidRPr="00501DEB">
        <w:t>Enjoyable Experience</w:t>
      </w:r>
    </w:p>
    <w:p w:rsidR="004077A0" w:rsidRPr="00501DEB" w:rsidRDefault="00AE5839" w:rsidP="004077A0">
      <w:pPr>
        <w:pStyle w:val="CCLtdNormal"/>
        <w:rPr>
          <w:lang w:val="en-GB"/>
        </w:rPr>
      </w:pPr>
      <w:r w:rsidRPr="00501DEB">
        <w:rPr>
          <w:lang w:val="en-GB"/>
        </w:rPr>
        <w:t>Across the Look Up programme there were many examples of audience</w:t>
      </w:r>
      <w:r w:rsidR="00501DEB">
        <w:rPr>
          <w:lang w:val="en-GB"/>
        </w:rPr>
        <w:t>s</w:t>
      </w:r>
      <w:r w:rsidRPr="00501DEB">
        <w:rPr>
          <w:lang w:val="en-GB"/>
        </w:rPr>
        <w:t xml:space="preserve"> stating they had enjoyed their experiences with the artworks. In part</w:t>
      </w:r>
      <w:r w:rsidR="00501DEB">
        <w:rPr>
          <w:lang w:val="en-GB"/>
        </w:rPr>
        <w:t>,</w:t>
      </w:r>
      <w:r w:rsidRPr="00501DEB">
        <w:rPr>
          <w:lang w:val="en-GB"/>
        </w:rPr>
        <w:t xml:space="preserve"> this was </w:t>
      </w:r>
      <w:r w:rsidR="00501DEB">
        <w:rPr>
          <w:lang w:val="en-GB"/>
        </w:rPr>
        <w:t>because</w:t>
      </w:r>
      <w:r w:rsidRPr="00501DEB">
        <w:rPr>
          <w:lang w:val="en-GB"/>
        </w:rPr>
        <w:t xml:space="preserve"> it was not just about looking at the artworks, there were also opportunities to engage more directly.</w:t>
      </w:r>
    </w:p>
    <w:p w:rsidR="00AE5839" w:rsidRPr="00501DEB" w:rsidRDefault="00B6107A" w:rsidP="004077A0">
      <w:pPr>
        <w:pStyle w:val="CCLtdNormal"/>
        <w:jc w:val="center"/>
        <w:rPr>
          <w:color w:val="522887"/>
          <w:lang w:val="en-GB"/>
        </w:rPr>
      </w:pPr>
      <w:r>
        <w:rPr>
          <w:i/>
          <w:color w:val="522887"/>
          <w:lang w:val="en-GB"/>
        </w:rPr>
        <w:t>“</w:t>
      </w:r>
      <w:r w:rsidR="004077A0" w:rsidRPr="00501DEB">
        <w:rPr>
          <w:i/>
          <w:color w:val="522887"/>
          <w:lang w:val="en-GB"/>
        </w:rPr>
        <w:t xml:space="preserve">That's where the essence of interactive art is </w:t>
      </w:r>
      <w:r w:rsidR="00AE5839" w:rsidRPr="00501DEB">
        <w:rPr>
          <w:i/>
          <w:color w:val="522887"/>
          <w:lang w:val="en-GB"/>
        </w:rPr>
        <w:t>…</w:t>
      </w:r>
      <w:r w:rsidR="004077A0" w:rsidRPr="00501DEB">
        <w:rPr>
          <w:i/>
          <w:color w:val="522887"/>
          <w:lang w:val="en-GB"/>
        </w:rPr>
        <w:t xml:space="preserve"> You can participate. You can touch, you can feel, you can shout at it, it does stuff. I think that draws a lot of people in … You can play and you can interact, and I think that's what a lot of the appeal is about, r</w:t>
      </w:r>
      <w:r>
        <w:rPr>
          <w:i/>
          <w:color w:val="522887"/>
          <w:lang w:val="en-GB"/>
        </w:rPr>
        <w:t>ather than just stand and look.”</w:t>
      </w:r>
      <w:r w:rsidR="004077A0" w:rsidRPr="00501DEB">
        <w:rPr>
          <w:i/>
          <w:color w:val="522887"/>
          <w:lang w:val="en-GB"/>
        </w:rPr>
        <w:br/>
      </w:r>
      <w:r w:rsidR="004077A0" w:rsidRPr="00501DEB">
        <w:rPr>
          <w:color w:val="522887"/>
          <w:lang w:val="en-GB"/>
        </w:rPr>
        <w:t>(Focus Group Member)</w:t>
      </w:r>
    </w:p>
    <w:p w:rsidR="00881FA7" w:rsidRPr="00501DEB" w:rsidRDefault="00B6107A" w:rsidP="00AE5839">
      <w:pPr>
        <w:pStyle w:val="CCLtdNormal"/>
        <w:rPr>
          <w:lang w:val="en-GB"/>
        </w:rPr>
      </w:pPr>
      <w:r>
        <w:rPr>
          <w:lang w:val="en-GB"/>
        </w:rPr>
        <w:t>The City Speaks</w:t>
      </w:r>
      <w:r w:rsidR="00AE5839" w:rsidRPr="00501DEB">
        <w:rPr>
          <w:lang w:val="en-GB"/>
        </w:rPr>
        <w:t xml:space="preserve"> </w:t>
      </w:r>
      <w:r w:rsidR="00563462">
        <w:rPr>
          <w:lang w:val="en-GB"/>
        </w:rPr>
        <w:t xml:space="preserve">and Floe were </w:t>
      </w:r>
      <w:r w:rsidR="00AE5839" w:rsidRPr="00501DEB">
        <w:rPr>
          <w:lang w:val="en-GB"/>
        </w:rPr>
        <w:t>seen to be a particularly good example of this, with people both engaging through participating with the artwork</w:t>
      </w:r>
      <w:r w:rsidR="00563462">
        <w:rPr>
          <w:lang w:val="en-GB"/>
        </w:rPr>
        <w:t>s and/or</w:t>
      </w:r>
      <w:r w:rsidR="00AE5839" w:rsidRPr="00501DEB">
        <w:rPr>
          <w:lang w:val="en-GB"/>
        </w:rPr>
        <w:t xml:space="preserve"> with what others were saying via it.</w:t>
      </w:r>
    </w:p>
    <w:p w:rsidR="008307D7" w:rsidRPr="00501DEB" w:rsidRDefault="00AE5839" w:rsidP="008307D7">
      <w:pPr>
        <w:pStyle w:val="CCLtdNormal"/>
        <w:jc w:val="center"/>
        <w:rPr>
          <w:color w:val="522887"/>
          <w:lang w:val="en-GB"/>
        </w:rPr>
      </w:pPr>
      <w:r w:rsidRPr="00501DEB">
        <w:rPr>
          <w:i/>
          <w:color w:val="5D266F"/>
          <w:lang w:val="en-GB"/>
        </w:rPr>
        <w:t xml:space="preserve"> </w:t>
      </w:r>
      <w:r w:rsidR="00B6107A">
        <w:rPr>
          <w:i/>
          <w:color w:val="522887"/>
          <w:lang w:val="en-GB"/>
        </w:rPr>
        <w:t>“</w:t>
      </w:r>
      <w:r w:rsidR="008307D7" w:rsidRPr="00501DEB">
        <w:rPr>
          <w:i/>
          <w:color w:val="522887"/>
          <w:lang w:val="en-GB"/>
        </w:rPr>
        <w:t>I just enjoy driving over the flyover to see what people have put on it</w:t>
      </w:r>
      <w:r w:rsidRPr="00501DEB">
        <w:rPr>
          <w:i/>
          <w:color w:val="522887"/>
          <w:lang w:val="en-GB"/>
        </w:rPr>
        <w:t xml:space="preserve"> [</w:t>
      </w:r>
      <w:r w:rsidR="00B6107A">
        <w:rPr>
          <w:i/>
          <w:color w:val="522887"/>
          <w:lang w:val="en-GB"/>
        </w:rPr>
        <w:t>The City Speaks</w:t>
      </w:r>
      <w:r w:rsidRPr="00501DEB">
        <w:rPr>
          <w:i/>
          <w:color w:val="522887"/>
          <w:lang w:val="en-GB"/>
        </w:rPr>
        <w:t>]</w:t>
      </w:r>
      <w:r w:rsidR="00B6107A">
        <w:rPr>
          <w:i/>
          <w:color w:val="522887"/>
          <w:lang w:val="en-GB"/>
        </w:rPr>
        <w:t>.”</w:t>
      </w:r>
      <w:r w:rsidR="008307D7" w:rsidRPr="00501DEB">
        <w:rPr>
          <w:i/>
          <w:color w:val="522887"/>
          <w:lang w:val="en-GB"/>
        </w:rPr>
        <w:br/>
      </w:r>
      <w:r w:rsidR="008307D7" w:rsidRPr="00501DEB">
        <w:rPr>
          <w:color w:val="522887"/>
          <w:lang w:val="en-GB"/>
        </w:rPr>
        <w:t>(Focus Group Member)</w:t>
      </w:r>
    </w:p>
    <w:p w:rsidR="00AE5839" w:rsidRPr="00501DEB" w:rsidRDefault="00B6107A" w:rsidP="008307D7">
      <w:pPr>
        <w:pStyle w:val="CCLtdNormal"/>
        <w:jc w:val="center"/>
        <w:rPr>
          <w:color w:val="522887"/>
          <w:lang w:val="en-GB"/>
        </w:rPr>
      </w:pPr>
      <w:r>
        <w:rPr>
          <w:i/>
          <w:color w:val="522887"/>
          <w:lang w:val="en-GB"/>
        </w:rPr>
        <w:t>“</w:t>
      </w:r>
      <w:r w:rsidR="008307D7" w:rsidRPr="00501DEB">
        <w:rPr>
          <w:i/>
          <w:color w:val="522887"/>
          <w:lang w:val="en-GB"/>
        </w:rPr>
        <w:t>I had a whale of a time</w:t>
      </w:r>
      <w:r w:rsidR="00AE5839" w:rsidRPr="00501DEB">
        <w:rPr>
          <w:i/>
          <w:color w:val="522887"/>
          <w:lang w:val="en-GB"/>
        </w:rPr>
        <w:t xml:space="preserve"> [participating in </w:t>
      </w:r>
      <w:r>
        <w:rPr>
          <w:i/>
          <w:color w:val="522887"/>
          <w:lang w:val="en-GB"/>
        </w:rPr>
        <w:t>The City Speaks</w:t>
      </w:r>
      <w:r w:rsidR="00AE5839" w:rsidRPr="00501DEB">
        <w:rPr>
          <w:i/>
          <w:color w:val="522887"/>
          <w:lang w:val="en-GB"/>
        </w:rPr>
        <w:t>]</w:t>
      </w:r>
      <w:r w:rsidR="008307D7" w:rsidRPr="00501DEB">
        <w:rPr>
          <w:i/>
          <w:color w:val="522887"/>
          <w:lang w:val="en-GB"/>
        </w:rPr>
        <w:t>.</w:t>
      </w:r>
      <w:r>
        <w:rPr>
          <w:i/>
          <w:color w:val="522887"/>
          <w:lang w:val="en-GB"/>
        </w:rPr>
        <w:t>”</w:t>
      </w:r>
      <w:r w:rsidR="008307D7" w:rsidRPr="00501DEB">
        <w:rPr>
          <w:i/>
          <w:color w:val="522887"/>
          <w:lang w:val="en-GB"/>
        </w:rPr>
        <w:br/>
      </w:r>
      <w:r w:rsidR="008307D7" w:rsidRPr="00501DEB">
        <w:rPr>
          <w:color w:val="522887"/>
          <w:lang w:val="en-GB"/>
        </w:rPr>
        <w:t>(Focus Group Member)</w:t>
      </w:r>
    </w:p>
    <w:p w:rsidR="00AE5839" w:rsidRDefault="00B6107A" w:rsidP="00AE5839">
      <w:pPr>
        <w:pStyle w:val="CCLtdNormal"/>
        <w:jc w:val="center"/>
        <w:rPr>
          <w:color w:val="522887"/>
          <w:lang w:val="en-GB"/>
        </w:rPr>
      </w:pPr>
      <w:r>
        <w:rPr>
          <w:i/>
          <w:color w:val="522887"/>
          <w:lang w:val="en-GB"/>
        </w:rPr>
        <w:t>“The City Speaks</w:t>
      </w:r>
      <w:r w:rsidR="00AE5839" w:rsidRPr="00501DEB">
        <w:rPr>
          <w:i/>
          <w:color w:val="522887"/>
          <w:lang w:val="en-GB"/>
        </w:rPr>
        <w:t>, because it gave everyone from kids this big, to big old kids like me, a chance to see my name in lights … The excitement on the fac</w:t>
      </w:r>
      <w:r>
        <w:rPr>
          <w:i/>
          <w:color w:val="522887"/>
          <w:lang w:val="en-GB"/>
        </w:rPr>
        <w:t>es of some of these youngsters.”</w:t>
      </w:r>
      <w:r w:rsidR="00AE5839" w:rsidRPr="00501DEB">
        <w:rPr>
          <w:i/>
          <w:color w:val="522887"/>
          <w:lang w:val="en-GB"/>
        </w:rPr>
        <w:br/>
      </w:r>
      <w:r w:rsidR="00AE5839" w:rsidRPr="00501DEB">
        <w:rPr>
          <w:color w:val="522887"/>
          <w:lang w:val="en-GB"/>
        </w:rPr>
        <w:t>(Focus Group Member)</w:t>
      </w:r>
    </w:p>
    <w:p w:rsidR="00B6107A" w:rsidRDefault="00B6107A" w:rsidP="00AE5839">
      <w:pPr>
        <w:pStyle w:val="CCLtdNormal"/>
        <w:jc w:val="center"/>
        <w:rPr>
          <w:i/>
          <w:color w:val="522887"/>
        </w:rPr>
      </w:pPr>
    </w:p>
    <w:p w:rsidR="00B6107A" w:rsidRDefault="00B6107A" w:rsidP="00AE5839">
      <w:pPr>
        <w:pStyle w:val="CCLtdNormal"/>
        <w:jc w:val="center"/>
        <w:rPr>
          <w:i/>
          <w:color w:val="522887"/>
        </w:rPr>
      </w:pPr>
    </w:p>
    <w:p w:rsidR="00563462" w:rsidRPr="00501DEB" w:rsidRDefault="00B6107A" w:rsidP="00AE5839">
      <w:pPr>
        <w:pStyle w:val="CCLtdNormal"/>
        <w:jc w:val="center"/>
        <w:rPr>
          <w:i/>
          <w:color w:val="522887"/>
          <w:lang w:val="en-GB"/>
        </w:rPr>
      </w:pPr>
      <w:r>
        <w:rPr>
          <w:i/>
          <w:color w:val="522887"/>
        </w:rPr>
        <w:lastRenderedPageBreak/>
        <w:t>“</w:t>
      </w:r>
      <w:r w:rsidR="00563462" w:rsidRPr="00563462">
        <w:rPr>
          <w:i/>
          <w:color w:val="522887"/>
        </w:rPr>
        <w:t>I didn’t appreciate that</w:t>
      </w:r>
      <w:r w:rsidR="00563462">
        <w:rPr>
          <w:i/>
          <w:color w:val="522887"/>
        </w:rPr>
        <w:t xml:space="preserve"> [participatory nature of A Hall for Hull]</w:t>
      </w:r>
      <w:r w:rsidR="00563462" w:rsidRPr="00563462">
        <w:rPr>
          <w:i/>
          <w:color w:val="522887"/>
        </w:rPr>
        <w:t xml:space="preserve"> but on the Facebook thing people were talking about it a lot and they were saying, did you know if you did this, so that encouraged </w:t>
      </w:r>
      <w:r>
        <w:rPr>
          <w:i/>
          <w:color w:val="522887"/>
        </w:rPr>
        <w:t>me to sort of look at it again.”</w:t>
      </w:r>
      <w:r w:rsidR="00563462">
        <w:rPr>
          <w:color w:val="522887"/>
        </w:rPr>
        <w:br/>
      </w:r>
      <w:r w:rsidR="00563462" w:rsidRPr="00563462">
        <w:rPr>
          <w:color w:val="522887"/>
        </w:rPr>
        <w:t>(Focus Group Member)</w:t>
      </w:r>
    </w:p>
    <w:p w:rsidR="00AE5839" w:rsidRPr="00501DEB" w:rsidRDefault="00AE5839" w:rsidP="00AE5839">
      <w:pPr>
        <w:pStyle w:val="CCLtdNormal"/>
        <w:rPr>
          <w:lang w:val="en-GB"/>
        </w:rPr>
      </w:pPr>
      <w:r w:rsidRPr="00501DEB">
        <w:rPr>
          <w:lang w:val="en-GB"/>
        </w:rPr>
        <w:t>Washed Up Car-go was also mentioned, referencing how it was greater than the sum of its parts, which was a surprise.</w:t>
      </w:r>
    </w:p>
    <w:p w:rsidR="00AE5839" w:rsidRPr="00501DEB" w:rsidRDefault="00B6107A" w:rsidP="00AE5839">
      <w:pPr>
        <w:pStyle w:val="CCLtdNormal"/>
        <w:jc w:val="center"/>
        <w:rPr>
          <w:color w:val="522887"/>
          <w:lang w:val="en-GB"/>
        </w:rPr>
      </w:pPr>
      <w:r>
        <w:rPr>
          <w:i/>
          <w:color w:val="522887"/>
          <w:lang w:val="en-GB"/>
        </w:rPr>
        <w:t>“</w:t>
      </w:r>
      <w:r w:rsidR="00AE5839" w:rsidRPr="00501DEB">
        <w:rPr>
          <w:i/>
          <w:color w:val="522887"/>
          <w:lang w:val="en-GB"/>
        </w:rPr>
        <w:t xml:space="preserve">I really liked the Washed Up Car-go. I thought it was more than it should've been. It gave you a greater reaction than what it was. In principle it was just a car, with stuff inside it and some music. It worked. The best of art for me, makes you think, and it made me </w:t>
      </w:r>
      <w:r>
        <w:rPr>
          <w:i/>
          <w:color w:val="522887"/>
          <w:lang w:val="en-GB"/>
        </w:rPr>
        <w:t>think, and I really enjoyed it.”</w:t>
      </w:r>
      <w:r w:rsidR="00AE5839" w:rsidRPr="00501DEB">
        <w:rPr>
          <w:i/>
          <w:color w:val="522887"/>
          <w:lang w:val="en-GB"/>
        </w:rPr>
        <w:br/>
      </w:r>
      <w:r w:rsidR="00AE5839" w:rsidRPr="00501DEB">
        <w:rPr>
          <w:color w:val="522887"/>
          <w:lang w:val="en-GB"/>
        </w:rPr>
        <w:t>(Focus Group Member)</w:t>
      </w:r>
    </w:p>
    <w:p w:rsidR="004077A0" w:rsidRPr="00501DEB" w:rsidRDefault="00A405E8" w:rsidP="007F6D8C">
      <w:pPr>
        <w:pStyle w:val="CCLtdSubsubheading"/>
      </w:pPr>
      <w:r w:rsidRPr="00501DEB">
        <w:t xml:space="preserve">Creating </w:t>
      </w:r>
      <w:r w:rsidR="007F6D8C" w:rsidRPr="00501DEB">
        <w:t xml:space="preserve">Connections </w:t>
      </w:r>
      <w:r w:rsidR="004077A0" w:rsidRPr="00501DEB">
        <w:t>to the City</w:t>
      </w:r>
    </w:p>
    <w:p w:rsidR="00F06D3D" w:rsidRPr="00501DEB" w:rsidRDefault="00AE5839" w:rsidP="004077A0">
      <w:pPr>
        <w:pStyle w:val="CCLtdNormal"/>
        <w:rPr>
          <w:lang w:val="en-GB"/>
        </w:rPr>
      </w:pPr>
      <w:r w:rsidRPr="00501DEB">
        <w:rPr>
          <w:lang w:val="en-GB"/>
        </w:rPr>
        <w:t xml:space="preserve">As </w:t>
      </w:r>
      <w:r w:rsidR="00F06D3D" w:rsidRPr="00501DEB">
        <w:rPr>
          <w:lang w:val="en-GB"/>
        </w:rPr>
        <w:t xml:space="preserve">discussed in previous chapter, </w:t>
      </w:r>
      <w:r w:rsidRPr="00501DEB">
        <w:rPr>
          <w:lang w:val="en-GB"/>
        </w:rPr>
        <w:t>Look Up was successful in providing audiences with a greater under</w:t>
      </w:r>
      <w:r w:rsidR="00F06D3D" w:rsidRPr="00501DEB">
        <w:rPr>
          <w:lang w:val="en-GB"/>
        </w:rPr>
        <w:t>standing</w:t>
      </w:r>
      <w:r w:rsidR="00B6107A">
        <w:rPr>
          <w:lang w:val="en-GB"/>
        </w:rPr>
        <w:t xml:space="preserve"> and engagement with the c</w:t>
      </w:r>
      <w:r w:rsidR="00F06D3D" w:rsidRPr="00501DEB">
        <w:rPr>
          <w:lang w:val="en-GB"/>
        </w:rPr>
        <w:t>ity’s past (Chapter 2, Section 2.3.1), enabling them to look at Hull’s built heritage in a different way and enjoy a different experience of the city (Chapter 3, Section 3.5).</w:t>
      </w:r>
    </w:p>
    <w:p w:rsidR="00F06D3D" w:rsidRPr="00501DEB" w:rsidRDefault="00F06D3D" w:rsidP="004077A0">
      <w:pPr>
        <w:pStyle w:val="CCLtdNormal"/>
        <w:rPr>
          <w:lang w:val="en-GB"/>
        </w:rPr>
      </w:pPr>
      <w:r w:rsidRPr="00501DEB">
        <w:rPr>
          <w:lang w:val="en-GB"/>
        </w:rPr>
        <w:t>Blade was also particularly successful in making a direct connecti</w:t>
      </w:r>
      <w:r w:rsidR="00501DEB">
        <w:rPr>
          <w:lang w:val="en-GB"/>
        </w:rPr>
        <w:t>on between the artwork and the c</w:t>
      </w:r>
      <w:r w:rsidRPr="00501DEB">
        <w:rPr>
          <w:lang w:val="en-GB"/>
        </w:rPr>
        <w:t>ity. The coverage of how it was installed enabled audiences to understand how different partners in Hull had enabled the installation to happen.</w:t>
      </w:r>
    </w:p>
    <w:p w:rsidR="00F06D3D" w:rsidRPr="00501DEB" w:rsidRDefault="00501DEB" w:rsidP="00F06D3D">
      <w:pPr>
        <w:pStyle w:val="CCLtdNormal"/>
        <w:jc w:val="center"/>
        <w:rPr>
          <w:color w:val="522887"/>
          <w:lang w:val="en-GB"/>
        </w:rPr>
      </w:pPr>
      <w:r w:rsidRPr="00501DEB">
        <w:rPr>
          <w:i/>
          <w:color w:val="522887"/>
          <w:lang w:val="en-GB"/>
        </w:rPr>
        <w:t xml:space="preserve"> </w:t>
      </w:r>
      <w:r w:rsidR="00B6107A">
        <w:rPr>
          <w:i/>
          <w:color w:val="522887"/>
          <w:lang w:val="en-GB"/>
        </w:rPr>
        <w:t>“</w:t>
      </w:r>
      <w:r w:rsidR="00F06D3D" w:rsidRPr="00501DEB">
        <w:rPr>
          <w:i/>
          <w:color w:val="522887"/>
          <w:lang w:val="en-GB"/>
        </w:rPr>
        <w:t xml:space="preserve">Of course, you didn't learn about that [the installation of Blade] until afterwards. It just appeared. Afterwards they explained how they brought it. There was a TV program showing how it </w:t>
      </w:r>
      <w:r w:rsidR="00B6107A">
        <w:rPr>
          <w:i/>
          <w:color w:val="522887"/>
          <w:lang w:val="en-GB"/>
        </w:rPr>
        <w:t>was done, which was impressive.”</w:t>
      </w:r>
      <w:r w:rsidR="00F06D3D" w:rsidRPr="00501DEB">
        <w:rPr>
          <w:i/>
          <w:color w:val="522887"/>
          <w:lang w:val="en-GB"/>
        </w:rPr>
        <w:br/>
      </w:r>
      <w:r w:rsidR="00F06D3D" w:rsidRPr="00501DEB">
        <w:rPr>
          <w:color w:val="522887"/>
          <w:lang w:val="en-GB"/>
        </w:rPr>
        <w:t>(Focus Group Member)</w:t>
      </w:r>
    </w:p>
    <w:p w:rsidR="00501DEB" w:rsidRPr="00501DEB" w:rsidRDefault="00B6107A" w:rsidP="00501DEB">
      <w:pPr>
        <w:pStyle w:val="CCLtdNormal"/>
        <w:jc w:val="center"/>
        <w:rPr>
          <w:color w:val="522887"/>
          <w:lang w:val="en-GB"/>
        </w:rPr>
      </w:pPr>
      <w:r>
        <w:rPr>
          <w:i/>
          <w:color w:val="522887"/>
          <w:lang w:val="en-GB"/>
        </w:rPr>
        <w:t>“</w:t>
      </w:r>
      <w:r w:rsidR="00501DEB" w:rsidRPr="00501DEB">
        <w:rPr>
          <w:i/>
          <w:color w:val="522887"/>
          <w:lang w:val="en-GB"/>
        </w:rPr>
        <w:t>To think that they're making that</w:t>
      </w:r>
      <w:r>
        <w:rPr>
          <w:i/>
          <w:color w:val="522887"/>
          <w:lang w:val="en-GB"/>
        </w:rPr>
        <w:t xml:space="preserve"> [wind turbines] down the road.”</w:t>
      </w:r>
      <w:r w:rsidR="00501DEB" w:rsidRPr="00501DEB">
        <w:rPr>
          <w:i/>
          <w:color w:val="522887"/>
          <w:lang w:val="en-GB"/>
        </w:rPr>
        <w:br/>
      </w:r>
      <w:r w:rsidR="00501DEB" w:rsidRPr="00501DEB">
        <w:rPr>
          <w:color w:val="522887"/>
          <w:lang w:val="en-GB"/>
        </w:rPr>
        <w:t>(Focus Group Member)</w:t>
      </w:r>
    </w:p>
    <w:p w:rsidR="00F06D3D" w:rsidRPr="00501DEB" w:rsidRDefault="00F06D3D" w:rsidP="00F06D3D">
      <w:pPr>
        <w:pStyle w:val="CCLtdNormal"/>
        <w:rPr>
          <w:lang w:val="en-GB"/>
        </w:rPr>
      </w:pPr>
      <w:r w:rsidRPr="00501DEB">
        <w:rPr>
          <w:lang w:val="en-GB"/>
        </w:rPr>
        <w:t>Being described by many audience members as awesome, or synonyms of awesome, Blade also inspired connection to the City through bringing people back for additional visits.</w:t>
      </w:r>
    </w:p>
    <w:p w:rsidR="00F06D3D" w:rsidRPr="00501DEB" w:rsidRDefault="00B6107A" w:rsidP="00F06D3D">
      <w:pPr>
        <w:pStyle w:val="CCLtdNormal"/>
        <w:jc w:val="center"/>
        <w:rPr>
          <w:color w:val="522887"/>
          <w:lang w:val="en-GB"/>
        </w:rPr>
      </w:pPr>
      <w:r>
        <w:rPr>
          <w:i/>
          <w:color w:val="522887"/>
          <w:lang w:val="en-GB"/>
        </w:rPr>
        <w:t xml:space="preserve"> “</w:t>
      </w:r>
      <w:r w:rsidR="00F06D3D" w:rsidRPr="00501DEB">
        <w:rPr>
          <w:i/>
          <w:color w:val="522887"/>
          <w:lang w:val="en-GB"/>
        </w:rPr>
        <w:t>That was the one I went back to again, and again.</w:t>
      </w:r>
      <w:r>
        <w:rPr>
          <w:i/>
          <w:color w:val="522887"/>
          <w:lang w:val="en-GB"/>
        </w:rPr>
        <w:t>”</w:t>
      </w:r>
      <w:r w:rsidR="00F06D3D" w:rsidRPr="00501DEB">
        <w:rPr>
          <w:i/>
          <w:color w:val="522887"/>
          <w:lang w:val="en-GB"/>
        </w:rPr>
        <w:br/>
      </w:r>
      <w:r w:rsidR="00F06D3D" w:rsidRPr="00501DEB">
        <w:rPr>
          <w:color w:val="522887"/>
          <w:lang w:val="en-GB"/>
        </w:rPr>
        <w:t>(Focus Group Member)</w:t>
      </w:r>
    </w:p>
    <w:p w:rsidR="00F06D3D" w:rsidRPr="00501DEB" w:rsidRDefault="00F06D3D" w:rsidP="00F06D3D">
      <w:pPr>
        <w:pStyle w:val="CCLtdNormal"/>
        <w:rPr>
          <w:lang w:val="en-GB"/>
        </w:rPr>
      </w:pPr>
      <w:r w:rsidRPr="00501DEB">
        <w:rPr>
          <w:lang w:val="en-GB"/>
        </w:rPr>
        <w:t>Paper City brought an unknown story about Hull to the fore, providing audiences with a greater connection to one of Hull’s industries.</w:t>
      </w:r>
    </w:p>
    <w:p w:rsidR="00B6107A" w:rsidRDefault="00B6107A" w:rsidP="00976CE4">
      <w:pPr>
        <w:pStyle w:val="CCLtdNormal"/>
        <w:jc w:val="center"/>
        <w:rPr>
          <w:i/>
          <w:color w:val="522887"/>
          <w:lang w:val="en-GB"/>
        </w:rPr>
      </w:pPr>
    </w:p>
    <w:p w:rsidR="00B6107A" w:rsidRDefault="00B6107A" w:rsidP="00976CE4">
      <w:pPr>
        <w:pStyle w:val="CCLtdNormal"/>
        <w:jc w:val="center"/>
        <w:rPr>
          <w:i/>
          <w:color w:val="522887"/>
          <w:lang w:val="en-GB"/>
        </w:rPr>
      </w:pPr>
    </w:p>
    <w:p w:rsidR="004077A0" w:rsidRPr="00501DEB" w:rsidRDefault="00B6107A" w:rsidP="00976CE4">
      <w:pPr>
        <w:pStyle w:val="CCLtdNormal"/>
        <w:jc w:val="center"/>
        <w:rPr>
          <w:color w:val="522887"/>
          <w:lang w:val="en-GB"/>
        </w:rPr>
      </w:pPr>
      <w:r>
        <w:rPr>
          <w:i/>
          <w:color w:val="522887"/>
          <w:lang w:val="en-GB"/>
        </w:rPr>
        <w:lastRenderedPageBreak/>
        <w:t>“</w:t>
      </w:r>
      <w:r w:rsidR="00F06D3D" w:rsidRPr="00501DEB">
        <w:rPr>
          <w:i/>
          <w:color w:val="522887"/>
          <w:lang w:val="en-GB"/>
        </w:rPr>
        <w:t>Paper City, I didn't understand about, the factory that made the paper in Hull, and its history. All of that was on the wall when you went there, and I enjoyed the arts that it motivated. They were fantastic displays, but I also learnt all about the factory that actually made th</w:t>
      </w:r>
      <w:r>
        <w:rPr>
          <w:i/>
          <w:color w:val="522887"/>
          <w:lang w:val="en-GB"/>
        </w:rPr>
        <w:t>is very high quality art paper.”</w:t>
      </w:r>
      <w:r w:rsidR="00F06D3D" w:rsidRPr="00501DEB">
        <w:rPr>
          <w:i/>
          <w:color w:val="522887"/>
          <w:lang w:val="en-GB"/>
        </w:rPr>
        <w:br/>
      </w:r>
      <w:r w:rsidR="00F06D3D" w:rsidRPr="00501DEB">
        <w:rPr>
          <w:color w:val="522887"/>
          <w:lang w:val="en-GB"/>
        </w:rPr>
        <w:t>(Focus Group Member)</w:t>
      </w:r>
    </w:p>
    <w:p w:rsidR="004077A0" w:rsidRPr="00501DEB" w:rsidRDefault="00A405E8" w:rsidP="00BA0ACE">
      <w:pPr>
        <w:pStyle w:val="CCLtdSubsubheading"/>
      </w:pPr>
      <w:r w:rsidRPr="00501DEB">
        <w:t xml:space="preserve">Creating </w:t>
      </w:r>
      <w:r w:rsidR="004077A0" w:rsidRPr="00501DEB">
        <w:t>Connections in Communities</w:t>
      </w:r>
    </w:p>
    <w:p w:rsidR="004077A0" w:rsidRPr="00501DEB" w:rsidRDefault="009A2B07" w:rsidP="004077A0">
      <w:pPr>
        <w:pStyle w:val="CCLtdNormal"/>
        <w:rPr>
          <w:lang w:val="en-GB"/>
        </w:rPr>
      </w:pPr>
      <w:r w:rsidRPr="00501DEB">
        <w:rPr>
          <w:lang w:val="en-GB"/>
        </w:rPr>
        <w:t>When discussing the Look Up programme and its name, audiences began to explore whether it was just about physically looking up. There were several audience members who took a different approach to the name and reflected on the programme as a means to unlocking people to think in different ways, including towards their community.</w:t>
      </w:r>
    </w:p>
    <w:p w:rsidR="008307D7" w:rsidRPr="00501DEB" w:rsidRDefault="00B6107A" w:rsidP="004077A0">
      <w:pPr>
        <w:pStyle w:val="CCLtdNormal"/>
        <w:jc w:val="center"/>
        <w:rPr>
          <w:color w:val="522887"/>
          <w:lang w:val="en-GB"/>
        </w:rPr>
      </w:pPr>
      <w:r>
        <w:rPr>
          <w:i/>
          <w:color w:val="522887"/>
          <w:lang w:val="en-GB"/>
        </w:rPr>
        <w:t>“</w:t>
      </w:r>
      <w:r w:rsidR="004077A0" w:rsidRPr="00501DEB">
        <w:rPr>
          <w:i/>
          <w:color w:val="522887"/>
          <w:lang w:val="en-GB"/>
        </w:rPr>
        <w:t>But there's more than one way to look up though isn't there? It's about looking out and upwards, and pride, and joy, and a sense of community.</w:t>
      </w:r>
      <w:r>
        <w:rPr>
          <w:i/>
          <w:color w:val="522887"/>
          <w:lang w:val="en-GB"/>
        </w:rPr>
        <w:t>”</w:t>
      </w:r>
      <w:r w:rsidR="004077A0" w:rsidRPr="00501DEB">
        <w:rPr>
          <w:i/>
          <w:color w:val="522887"/>
          <w:lang w:val="en-GB"/>
        </w:rPr>
        <w:br/>
      </w:r>
      <w:r w:rsidR="004077A0" w:rsidRPr="00501DEB">
        <w:rPr>
          <w:color w:val="522887"/>
          <w:lang w:val="en-GB"/>
        </w:rPr>
        <w:t>(Focus Group Member)</w:t>
      </w:r>
    </w:p>
    <w:p w:rsidR="004077A0" w:rsidRPr="00501DEB" w:rsidRDefault="00B6107A" w:rsidP="009A2B07">
      <w:pPr>
        <w:pStyle w:val="CCLtdNormal"/>
        <w:rPr>
          <w:lang w:val="en-GB"/>
        </w:rPr>
      </w:pPr>
      <w:r>
        <w:rPr>
          <w:lang w:val="en-GB"/>
        </w:rPr>
        <w:t>The City Speaks</w:t>
      </w:r>
      <w:r w:rsidR="007C7647" w:rsidRPr="00501DEB">
        <w:rPr>
          <w:lang w:val="en-GB"/>
        </w:rPr>
        <w:t>, and its participatory nature stimulated those taking part to enjoy the experience together, highlighting how the artwork had been a catalyst to joint play.</w:t>
      </w:r>
    </w:p>
    <w:p w:rsidR="008307D7" w:rsidRPr="00501DEB" w:rsidRDefault="00B6107A" w:rsidP="008307D7">
      <w:pPr>
        <w:pStyle w:val="CCLtdNormal"/>
        <w:jc w:val="center"/>
        <w:rPr>
          <w:i/>
          <w:color w:val="522887"/>
          <w:lang w:val="en-GB"/>
        </w:rPr>
      </w:pPr>
      <w:r>
        <w:rPr>
          <w:i/>
          <w:color w:val="522887"/>
          <w:lang w:val="en-GB"/>
        </w:rPr>
        <w:t>“</w:t>
      </w:r>
      <w:r w:rsidR="008307D7" w:rsidRPr="00501DEB">
        <w:rPr>
          <w:i/>
          <w:color w:val="522887"/>
          <w:lang w:val="en-GB"/>
        </w:rPr>
        <w:t>When I went there, there were quite a few people waiting for a go. That didn't matter, we all jumped in and out. You could interact with other people, and have a go at t</w:t>
      </w:r>
      <w:r>
        <w:rPr>
          <w:i/>
          <w:color w:val="522887"/>
          <w:lang w:val="en-GB"/>
        </w:rPr>
        <w:t>he same time. It was quite fun.”</w:t>
      </w:r>
      <w:r w:rsidR="008307D7" w:rsidRPr="00501DEB">
        <w:rPr>
          <w:i/>
          <w:color w:val="522887"/>
          <w:lang w:val="en-GB"/>
        </w:rPr>
        <w:br/>
      </w:r>
      <w:r w:rsidR="008307D7" w:rsidRPr="00501DEB">
        <w:rPr>
          <w:color w:val="522887"/>
          <w:lang w:val="en-GB"/>
        </w:rPr>
        <w:t>(Focus Group Member)</w:t>
      </w:r>
    </w:p>
    <w:p w:rsidR="004077A0" w:rsidRPr="00501DEB" w:rsidRDefault="004077A0" w:rsidP="00A405E8">
      <w:pPr>
        <w:pStyle w:val="CCLtdSubsubheading"/>
      </w:pPr>
      <w:r w:rsidRPr="00501DEB">
        <w:t>Challenging Audiences</w:t>
      </w:r>
    </w:p>
    <w:p w:rsidR="00A03568" w:rsidRPr="00501DEB" w:rsidRDefault="00B74CB8" w:rsidP="004077A0">
      <w:pPr>
        <w:pStyle w:val="CCLtdNormal"/>
        <w:rPr>
          <w:lang w:val="en-GB"/>
        </w:rPr>
      </w:pPr>
      <w:r w:rsidRPr="00501DEB">
        <w:rPr>
          <w:lang w:val="en-GB"/>
        </w:rPr>
        <w:t xml:space="preserve">It can be argued that through challenging audiences, as </w:t>
      </w:r>
      <w:r w:rsidR="00501DEB" w:rsidRPr="00501DEB">
        <w:rPr>
          <w:lang w:val="en-GB"/>
        </w:rPr>
        <w:t>several</w:t>
      </w:r>
      <w:r w:rsidRPr="00501DEB">
        <w:rPr>
          <w:lang w:val="en-GB"/>
        </w:rPr>
        <w:t xml:space="preserve"> </w:t>
      </w:r>
      <w:r w:rsidR="00501DEB">
        <w:rPr>
          <w:lang w:val="en-GB"/>
        </w:rPr>
        <w:t xml:space="preserve">of </w:t>
      </w:r>
      <w:r w:rsidRPr="00501DEB">
        <w:rPr>
          <w:lang w:val="en-GB"/>
        </w:rPr>
        <w:t xml:space="preserve">the artworks did, Look Up was providing audiences with an opportunity for development (though </w:t>
      </w:r>
      <w:r w:rsidR="00A03568" w:rsidRPr="00501DEB">
        <w:rPr>
          <w:lang w:val="en-GB"/>
        </w:rPr>
        <w:t xml:space="preserve">admittedly not in a formal way). </w:t>
      </w:r>
    </w:p>
    <w:p w:rsidR="00A03568" w:rsidRPr="00501DEB" w:rsidRDefault="00B6107A" w:rsidP="00A03568">
      <w:pPr>
        <w:pStyle w:val="CCLtdNormal"/>
        <w:jc w:val="center"/>
        <w:rPr>
          <w:i/>
          <w:color w:val="522887"/>
          <w:lang w:val="en-GB"/>
        </w:rPr>
      </w:pPr>
      <w:r>
        <w:rPr>
          <w:i/>
          <w:color w:val="522887"/>
          <w:lang w:val="en-GB"/>
        </w:rPr>
        <w:t>“Thought provoking.”</w:t>
      </w:r>
      <w:r w:rsidR="00A03568" w:rsidRPr="00501DEB">
        <w:rPr>
          <w:i/>
          <w:color w:val="522887"/>
          <w:lang w:val="en-GB"/>
        </w:rPr>
        <w:br/>
      </w:r>
      <w:r w:rsidR="00A03568" w:rsidRPr="00501DEB">
        <w:rPr>
          <w:color w:val="522887"/>
          <w:lang w:val="en-GB"/>
        </w:rPr>
        <w:t>(Focus Group Member)</w:t>
      </w:r>
    </w:p>
    <w:p w:rsidR="00A03568" w:rsidRPr="00501DEB" w:rsidRDefault="00B6107A" w:rsidP="00A03568">
      <w:pPr>
        <w:pStyle w:val="CCLtdNormal"/>
        <w:jc w:val="center"/>
        <w:rPr>
          <w:color w:val="522887"/>
          <w:lang w:val="en-GB"/>
        </w:rPr>
      </w:pPr>
      <w:r>
        <w:rPr>
          <w:i/>
          <w:color w:val="522887"/>
          <w:lang w:val="en-GB"/>
        </w:rPr>
        <w:t>“</w:t>
      </w:r>
      <w:r w:rsidR="00A03568" w:rsidRPr="00501DEB">
        <w:rPr>
          <w:i/>
          <w:color w:val="522887"/>
          <w:lang w:val="en-GB"/>
        </w:rPr>
        <w:t>I</w:t>
      </w:r>
      <w:r>
        <w:rPr>
          <w:i/>
          <w:color w:val="522887"/>
          <w:lang w:val="en-GB"/>
        </w:rPr>
        <w:t xml:space="preserve"> think it [Look Up] challenges.”</w:t>
      </w:r>
      <w:r w:rsidR="00A03568" w:rsidRPr="00501DEB">
        <w:rPr>
          <w:i/>
          <w:color w:val="522887"/>
          <w:lang w:val="en-GB"/>
        </w:rPr>
        <w:br/>
      </w:r>
      <w:r w:rsidR="00A03568" w:rsidRPr="00501DEB">
        <w:rPr>
          <w:color w:val="522887"/>
          <w:lang w:val="en-GB"/>
        </w:rPr>
        <w:t>(Focus Group Member)</w:t>
      </w:r>
    </w:p>
    <w:p w:rsidR="004077A0" w:rsidRPr="00501DEB" w:rsidRDefault="00A03568" w:rsidP="004077A0">
      <w:pPr>
        <w:pStyle w:val="CCLtdNormal"/>
        <w:rPr>
          <w:lang w:val="en-GB"/>
        </w:rPr>
      </w:pPr>
      <w:r w:rsidRPr="00501DEB">
        <w:rPr>
          <w:lang w:val="en-GB"/>
        </w:rPr>
        <w:t>Washed Up Car-go was one artwork that had inspired people to think more deeply and reflect on the impact humanity was having on the seas and rivers.</w:t>
      </w:r>
    </w:p>
    <w:p w:rsidR="008307D7" w:rsidRPr="00501DEB" w:rsidRDefault="00A03568" w:rsidP="008307D7">
      <w:pPr>
        <w:pStyle w:val="CCLtdNormal"/>
        <w:jc w:val="center"/>
        <w:rPr>
          <w:i/>
          <w:color w:val="522887"/>
          <w:lang w:val="en-GB"/>
        </w:rPr>
      </w:pPr>
      <w:r w:rsidRPr="00501DEB">
        <w:rPr>
          <w:i/>
          <w:color w:val="5D266F"/>
          <w:lang w:val="en-GB"/>
        </w:rPr>
        <w:t xml:space="preserve"> </w:t>
      </w:r>
      <w:r w:rsidR="00B6107A">
        <w:rPr>
          <w:i/>
          <w:color w:val="522887"/>
          <w:lang w:val="en-GB"/>
        </w:rPr>
        <w:t>“</w:t>
      </w:r>
      <w:r w:rsidR="008307D7" w:rsidRPr="00501DEB">
        <w:rPr>
          <w:i/>
          <w:color w:val="522887"/>
          <w:lang w:val="en-GB"/>
        </w:rPr>
        <w:t xml:space="preserve">What a waste, what a mess, what ends up in all the water and what it can do, and it made you want to </w:t>
      </w:r>
      <w:r w:rsidR="00B6107A">
        <w:rPr>
          <w:i/>
          <w:color w:val="522887"/>
          <w:lang w:val="en-GB"/>
        </w:rPr>
        <w:t>walk up to the cars afterwards.”</w:t>
      </w:r>
      <w:r w:rsidR="008307D7" w:rsidRPr="00501DEB">
        <w:rPr>
          <w:i/>
          <w:color w:val="522887"/>
          <w:lang w:val="en-GB"/>
        </w:rPr>
        <w:br/>
      </w:r>
      <w:r w:rsidR="008307D7" w:rsidRPr="00501DEB">
        <w:rPr>
          <w:color w:val="522887"/>
          <w:lang w:val="en-GB"/>
        </w:rPr>
        <w:t>(Focus Group Member)</w:t>
      </w:r>
    </w:p>
    <w:p w:rsidR="00A03568" w:rsidRPr="00501DEB" w:rsidRDefault="00B6107A" w:rsidP="008307D7">
      <w:pPr>
        <w:pStyle w:val="CCLtdNormal"/>
        <w:jc w:val="center"/>
        <w:rPr>
          <w:color w:val="522887"/>
          <w:lang w:val="en-GB"/>
        </w:rPr>
      </w:pPr>
      <w:r>
        <w:rPr>
          <w:i/>
          <w:color w:val="522887"/>
          <w:lang w:val="en-GB"/>
        </w:rPr>
        <w:t>“</w:t>
      </w:r>
      <w:r w:rsidR="008307D7" w:rsidRPr="00501DEB">
        <w:rPr>
          <w:i/>
          <w:color w:val="522887"/>
          <w:lang w:val="en-GB"/>
        </w:rPr>
        <w:t>Yeah, it's unsettling. That</w:t>
      </w:r>
      <w:r>
        <w:rPr>
          <w:i/>
          <w:color w:val="522887"/>
          <w:lang w:val="en-GB"/>
        </w:rPr>
        <w:t>'s how I felt about our impact.”</w:t>
      </w:r>
      <w:r w:rsidR="008307D7" w:rsidRPr="00501DEB">
        <w:rPr>
          <w:i/>
          <w:color w:val="522887"/>
          <w:lang w:val="en-GB"/>
        </w:rPr>
        <w:br/>
      </w:r>
      <w:r w:rsidR="008307D7" w:rsidRPr="00501DEB">
        <w:rPr>
          <w:color w:val="522887"/>
          <w:lang w:val="en-GB"/>
        </w:rPr>
        <w:t>(Focus Group Member)</w:t>
      </w:r>
    </w:p>
    <w:p w:rsidR="008307D7" w:rsidRPr="00501DEB" w:rsidRDefault="00A03568" w:rsidP="00A03568">
      <w:pPr>
        <w:pStyle w:val="CCLtdNormal"/>
        <w:rPr>
          <w:lang w:val="en-GB"/>
        </w:rPr>
      </w:pPr>
      <w:r w:rsidRPr="00501DEB">
        <w:rPr>
          <w:lang w:val="en-GB"/>
        </w:rPr>
        <w:lastRenderedPageBreak/>
        <w:t>Bleached and A Hall for Hull were both referenced as examples where upon the first look you did not gain a full understanding of what you were witnessing. Instead they inspired you to look deeper and ask questions.</w:t>
      </w:r>
    </w:p>
    <w:p w:rsidR="00A03568" w:rsidRPr="00501DEB" w:rsidRDefault="00B6107A" w:rsidP="008307D7">
      <w:pPr>
        <w:pStyle w:val="CCLtdNormal"/>
        <w:jc w:val="center"/>
        <w:rPr>
          <w:color w:val="522887"/>
          <w:lang w:val="en-GB"/>
        </w:rPr>
      </w:pPr>
      <w:r>
        <w:rPr>
          <w:i/>
          <w:color w:val="522887"/>
          <w:lang w:val="en-GB"/>
        </w:rPr>
        <w:t>“</w:t>
      </w:r>
      <w:r w:rsidR="008307D7" w:rsidRPr="00501DEB">
        <w:rPr>
          <w:i/>
          <w:color w:val="522887"/>
          <w:lang w:val="en-GB"/>
        </w:rPr>
        <w:t>What I really liked about it, it was really nice to be up close to the coral. You don't often get the opportunity … But what I really liked about it was the oceans in the metal, because you don't immediately know what you're looking at and then you get it explained to you, that what it's about, and you can see that, that it means something. Well everything has a hidden meaning to it but I really liked it.</w:t>
      </w:r>
      <w:r>
        <w:rPr>
          <w:i/>
          <w:color w:val="522887"/>
          <w:lang w:val="en-GB"/>
        </w:rPr>
        <w:t>”</w:t>
      </w:r>
      <w:r w:rsidR="008307D7" w:rsidRPr="00501DEB">
        <w:rPr>
          <w:i/>
          <w:color w:val="522887"/>
          <w:lang w:val="en-GB"/>
        </w:rPr>
        <w:br/>
      </w:r>
      <w:r w:rsidR="008307D7" w:rsidRPr="00501DEB">
        <w:rPr>
          <w:color w:val="522887"/>
          <w:lang w:val="en-GB"/>
        </w:rPr>
        <w:t>(Focus Group Member)</w:t>
      </w:r>
    </w:p>
    <w:p w:rsidR="00563462" w:rsidRPr="00501DEB" w:rsidRDefault="00B6107A" w:rsidP="00B6107A">
      <w:pPr>
        <w:pStyle w:val="CCLtdNormal"/>
        <w:jc w:val="center"/>
        <w:rPr>
          <w:color w:val="522887"/>
          <w:lang w:val="en-GB"/>
        </w:rPr>
      </w:pPr>
      <w:r>
        <w:rPr>
          <w:i/>
          <w:color w:val="522887"/>
          <w:lang w:val="en-GB"/>
        </w:rPr>
        <w:tab/>
        <w:t>“</w:t>
      </w:r>
      <w:r w:rsidR="00A03568" w:rsidRPr="00501DEB">
        <w:rPr>
          <w:i/>
          <w:color w:val="522887"/>
          <w:lang w:val="en-GB"/>
        </w:rPr>
        <w:t>I had my brother and sister-in-law with me. They came to visit from the Midlands, and my brother, who's not particularly into art installations said, "Great, … What's this all about?", then when it was explained to him, you stand at these points, and the white painting lines up ... He said, "Oh that's really clever, that's really different." Of course, then he wants to go around the wh</w:t>
      </w:r>
      <w:r>
        <w:rPr>
          <w:i/>
          <w:color w:val="522887"/>
          <w:lang w:val="en-GB"/>
        </w:rPr>
        <w:t>ole thing, and see it properly.”</w:t>
      </w:r>
      <w:r w:rsidR="00A03568" w:rsidRPr="00501DEB">
        <w:rPr>
          <w:i/>
          <w:color w:val="522887"/>
          <w:lang w:val="en-GB"/>
        </w:rPr>
        <w:br/>
      </w:r>
      <w:r w:rsidR="00A03568" w:rsidRPr="00501DEB">
        <w:rPr>
          <w:color w:val="522887"/>
          <w:lang w:val="en-GB"/>
        </w:rPr>
        <w:t>(Focus Group Member)</w:t>
      </w:r>
    </w:p>
    <w:p w:rsidR="008307D7" w:rsidRPr="00501DEB" w:rsidRDefault="00A03568" w:rsidP="00A03568">
      <w:pPr>
        <w:pStyle w:val="CCLtdNormal"/>
        <w:rPr>
          <w:lang w:val="en-GB"/>
        </w:rPr>
      </w:pPr>
      <w:r w:rsidRPr="00501DEB">
        <w:rPr>
          <w:lang w:val="en-GB"/>
        </w:rPr>
        <w:t>This is a Freedom of Expression Centre was also referenced, with on</w:t>
      </w:r>
      <w:r w:rsidR="00501DEB">
        <w:rPr>
          <w:lang w:val="en-GB"/>
        </w:rPr>
        <w:t>e</w:t>
      </w:r>
      <w:r w:rsidRPr="00501DEB">
        <w:rPr>
          <w:lang w:val="en-GB"/>
        </w:rPr>
        <w:t xml:space="preserve"> attendee </w:t>
      </w:r>
      <w:r w:rsidR="00501DEB">
        <w:rPr>
          <w:lang w:val="en-GB"/>
        </w:rPr>
        <w:t>sharing how difficult they</w:t>
      </w:r>
      <w:r w:rsidRPr="00501DEB">
        <w:rPr>
          <w:lang w:val="en-GB"/>
        </w:rPr>
        <w:t xml:space="preserve"> found </w:t>
      </w:r>
      <w:r w:rsidR="00501DEB">
        <w:rPr>
          <w:lang w:val="en-GB"/>
        </w:rPr>
        <w:t>it</w:t>
      </w:r>
      <w:r w:rsidRPr="00501DEB">
        <w:rPr>
          <w:lang w:val="en-GB"/>
        </w:rPr>
        <w:t xml:space="preserve"> to fully understand</w:t>
      </w:r>
      <w:r w:rsidR="00F75AB8">
        <w:rPr>
          <w:lang w:val="en-GB"/>
        </w:rPr>
        <w:t>;</w:t>
      </w:r>
      <w:r w:rsidRPr="00501DEB">
        <w:rPr>
          <w:lang w:val="en-GB"/>
        </w:rPr>
        <w:t xml:space="preserve"> whilst another attendee </w:t>
      </w:r>
      <w:r w:rsidR="00F75AB8">
        <w:rPr>
          <w:lang w:val="en-GB"/>
        </w:rPr>
        <w:t>felt its messages</w:t>
      </w:r>
      <w:r w:rsidRPr="00501DEB">
        <w:rPr>
          <w:lang w:val="en-GB"/>
        </w:rPr>
        <w:t xml:space="preserve"> resonated with her to the point that she was inspired to find out more. </w:t>
      </w:r>
    </w:p>
    <w:p w:rsidR="008307D7" w:rsidRPr="00F75AB8" w:rsidRDefault="00B6107A" w:rsidP="008307D7">
      <w:pPr>
        <w:pStyle w:val="CCLtdNormal"/>
        <w:jc w:val="center"/>
        <w:rPr>
          <w:color w:val="522887"/>
          <w:lang w:val="en-GB"/>
        </w:rPr>
      </w:pPr>
      <w:r>
        <w:rPr>
          <w:i/>
          <w:color w:val="522887"/>
          <w:lang w:val="en-GB"/>
        </w:rPr>
        <w:t>“</w:t>
      </w:r>
      <w:r w:rsidR="008307D7" w:rsidRPr="00F75AB8">
        <w:rPr>
          <w:i/>
          <w:color w:val="522887"/>
          <w:lang w:val="en-GB"/>
        </w:rPr>
        <w:t>I mean I stood there and a lot of it was controversial, but you said a lot of it was how we would like the world to be. But you couldn't possibly read it all, you just couldn't. There was just too much visual to take in and you found yourself about halfway through when you know “I've lost the thread of this t</w:t>
      </w:r>
      <w:r>
        <w:rPr>
          <w:i/>
          <w:color w:val="522887"/>
          <w:lang w:val="en-GB"/>
        </w:rPr>
        <w:t>o a degree” and then moving on.”</w:t>
      </w:r>
      <w:r w:rsidR="008307D7" w:rsidRPr="00F75AB8">
        <w:rPr>
          <w:i/>
          <w:color w:val="522887"/>
          <w:lang w:val="en-GB"/>
        </w:rPr>
        <w:br/>
      </w:r>
      <w:r w:rsidR="008307D7" w:rsidRPr="00F75AB8">
        <w:rPr>
          <w:color w:val="522887"/>
          <w:lang w:val="en-GB"/>
        </w:rPr>
        <w:t>(Focus Group Member)</w:t>
      </w:r>
    </w:p>
    <w:p w:rsidR="008307D7" w:rsidRDefault="00B6107A" w:rsidP="008307D7">
      <w:pPr>
        <w:pStyle w:val="CCLtdNormal"/>
        <w:jc w:val="center"/>
        <w:rPr>
          <w:color w:val="522887"/>
          <w:lang w:val="en-GB"/>
        </w:rPr>
      </w:pPr>
      <w:r>
        <w:rPr>
          <w:i/>
          <w:color w:val="522887"/>
          <w:lang w:val="en-GB"/>
        </w:rPr>
        <w:t>“</w:t>
      </w:r>
      <w:r w:rsidR="008307D7" w:rsidRPr="00F75AB8">
        <w:rPr>
          <w:i/>
          <w:color w:val="522887"/>
          <w:lang w:val="en-GB"/>
        </w:rPr>
        <w:t>I wanted to find out more about who he was</w:t>
      </w:r>
      <w:r>
        <w:rPr>
          <w:i/>
          <w:color w:val="522887"/>
          <w:lang w:val="en-GB"/>
        </w:rPr>
        <w:t xml:space="preserve"> … Yeah really really moved me.”</w:t>
      </w:r>
      <w:r w:rsidR="008307D7" w:rsidRPr="00F75AB8">
        <w:rPr>
          <w:i/>
          <w:color w:val="522887"/>
          <w:lang w:val="en-GB"/>
        </w:rPr>
        <w:br/>
      </w:r>
      <w:r w:rsidR="008307D7" w:rsidRPr="00F75AB8">
        <w:rPr>
          <w:color w:val="522887"/>
          <w:lang w:val="en-GB"/>
        </w:rPr>
        <w:t>(Focus Group Member)</w:t>
      </w:r>
    </w:p>
    <w:p w:rsidR="001E3CF2" w:rsidRPr="00501DEB" w:rsidRDefault="001E3CF2" w:rsidP="004A31B6">
      <w:pPr>
        <w:pStyle w:val="CCLtdSubHeading"/>
      </w:pPr>
      <w:r w:rsidRPr="00501DEB">
        <w:t>SWOT Analysis – Society &amp; Wellbeing</w:t>
      </w:r>
    </w:p>
    <w:p w:rsidR="001E3CF2" w:rsidRPr="00501DEB" w:rsidRDefault="001E3CF2" w:rsidP="001E3CF2">
      <w:pPr>
        <w:pStyle w:val="CCLtdTableNormal"/>
        <w:rPr>
          <w:lang w:val="en-GB"/>
        </w:rPr>
        <w:sectPr w:rsidR="001E3CF2" w:rsidRPr="00501DEB" w:rsidSect="001E3CF2">
          <w:pgSz w:w="11900" w:h="16840"/>
          <w:pgMar w:top="1531" w:right="1418" w:bottom="1418" w:left="1418" w:header="709" w:footer="709" w:gutter="0"/>
          <w:cols w:space="708"/>
        </w:sectPr>
      </w:pPr>
      <w:r w:rsidRPr="00501DEB">
        <w:rPr>
          <w:lang w:val="en-GB"/>
        </w:rPr>
        <w:t xml:space="preserve">In order to summarise the key learnings from the above evaluation of Society &amp; Wellbeing outcomes, the key strengths, weaknesses, opportunities and threats have been identified and placed within a SWOT Analysis (see </w:t>
      </w:r>
      <w:r w:rsidRPr="00B6107A">
        <w:rPr>
          <w:lang w:val="en-GB"/>
        </w:rPr>
        <w:t xml:space="preserve">Table </w:t>
      </w:r>
      <w:r w:rsidR="00B6107A" w:rsidRPr="00B6107A">
        <w:rPr>
          <w:lang w:val="en-GB"/>
        </w:rPr>
        <w:t>4</w:t>
      </w:r>
      <w:r w:rsidR="00E52FEB">
        <w:rPr>
          <w:lang w:val="en-GB"/>
        </w:rPr>
        <w:t>9</w:t>
      </w:r>
      <w:r w:rsidRPr="00B6107A">
        <w:rPr>
          <w:lang w:val="en-GB"/>
        </w:rPr>
        <w:t>).</w:t>
      </w:r>
      <w:r w:rsidRPr="00501DEB">
        <w:rPr>
          <w:lang w:val="en-GB"/>
        </w:rPr>
        <w:t xml:space="preserve"> </w:t>
      </w:r>
    </w:p>
    <w:p w:rsidR="001E3CF2" w:rsidRPr="00501DEB" w:rsidRDefault="00B6107A" w:rsidP="001E3CF2">
      <w:pPr>
        <w:pStyle w:val="CCLtdTableTitle"/>
        <w:ind w:hanging="1077"/>
        <w:rPr>
          <w:lang w:val="en-GB"/>
        </w:rPr>
      </w:pPr>
      <w:r w:rsidRPr="00B6107A">
        <w:rPr>
          <w:lang w:val="en-GB"/>
        </w:rPr>
        <w:lastRenderedPageBreak/>
        <w:t>Table 4</w:t>
      </w:r>
      <w:r w:rsidR="00E52FEB">
        <w:rPr>
          <w:lang w:val="en-GB"/>
        </w:rPr>
        <w:t>9</w:t>
      </w:r>
      <w:r w:rsidR="001E3CF2" w:rsidRPr="00501DEB">
        <w:rPr>
          <w:lang w:val="en-GB"/>
        </w:rPr>
        <w:t>: SWOT Analysis – Society &amp; Wellbeing</w:t>
      </w:r>
    </w:p>
    <w:tbl>
      <w:tblPr>
        <w:tblW w:w="209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9"/>
        <w:gridCol w:w="10490"/>
      </w:tblGrid>
      <w:tr w:rsidR="001E3CF2" w:rsidRPr="00501DEB">
        <w:tc>
          <w:tcPr>
            <w:tcW w:w="10489" w:type="dxa"/>
            <w:shd w:val="clear" w:color="auto" w:fill="522887"/>
          </w:tcPr>
          <w:p w:rsidR="001E3CF2" w:rsidRPr="00501DEB" w:rsidRDefault="001E3CF2" w:rsidP="001E3CF2">
            <w:pPr>
              <w:pStyle w:val="CCLtdTableHeader"/>
              <w:spacing w:before="60" w:after="60"/>
              <w:rPr>
                <w:color w:val="FFFFFF"/>
                <w:lang w:val="en-GB"/>
              </w:rPr>
            </w:pPr>
            <w:r w:rsidRPr="00501DEB">
              <w:rPr>
                <w:color w:val="FFFFFF"/>
                <w:lang w:val="en-GB"/>
              </w:rPr>
              <w:t xml:space="preserve">STRENGTHS OF LOOK UP </w:t>
            </w:r>
          </w:p>
        </w:tc>
        <w:tc>
          <w:tcPr>
            <w:tcW w:w="10490" w:type="dxa"/>
            <w:shd w:val="clear" w:color="auto" w:fill="522887"/>
          </w:tcPr>
          <w:p w:rsidR="001E3CF2" w:rsidRPr="00501DEB" w:rsidRDefault="001E3CF2" w:rsidP="001E3CF2">
            <w:pPr>
              <w:pStyle w:val="CCLtdTableHeader"/>
              <w:spacing w:before="60" w:after="60"/>
              <w:rPr>
                <w:color w:val="FFFFFF"/>
                <w:lang w:val="en-GB"/>
              </w:rPr>
            </w:pPr>
            <w:r w:rsidRPr="00501DEB">
              <w:rPr>
                <w:color w:val="FFFFFF"/>
                <w:lang w:val="en-GB"/>
              </w:rPr>
              <w:t>WEAKNESSES OF LOOK UP</w:t>
            </w:r>
          </w:p>
        </w:tc>
      </w:tr>
      <w:tr w:rsidR="001E3CF2" w:rsidRPr="00501DEB">
        <w:tc>
          <w:tcPr>
            <w:tcW w:w="10489" w:type="dxa"/>
            <w:shd w:val="clear" w:color="auto" w:fill="auto"/>
          </w:tcPr>
          <w:p w:rsidR="001E3CF2" w:rsidRPr="00501DEB" w:rsidRDefault="004D6F0D" w:rsidP="004F75F5">
            <w:pPr>
              <w:pStyle w:val="CCLtdTableBullet1"/>
            </w:pPr>
            <w:r>
              <w:t>The programme s</w:t>
            </w:r>
            <w:r w:rsidR="00F11787">
              <w:t>uccessfully created opportunities for shared celebration and enjoyment through a positive disruption within Hull’s public spaces</w:t>
            </w:r>
            <w:r w:rsidR="00077D02">
              <w:t>, and opportunities to engage directly with some artworks</w:t>
            </w:r>
            <w:r w:rsidR="00F11787">
              <w:t>.</w:t>
            </w:r>
          </w:p>
          <w:p w:rsidR="00077D02" w:rsidRDefault="004D6F0D" w:rsidP="004F75F5">
            <w:pPr>
              <w:pStyle w:val="CCLtdTableBullet1"/>
            </w:pPr>
            <w:r>
              <w:t>The programme p</w:t>
            </w:r>
            <w:r w:rsidR="00077D02">
              <w:t>rovided opportunities for audiences to connect directly with the city</w:t>
            </w:r>
            <w:r w:rsidR="00BA1225">
              <w:t>, its stories</w:t>
            </w:r>
            <w:r w:rsidR="00F11787">
              <w:t xml:space="preserve"> and people</w:t>
            </w:r>
            <w:r w:rsidR="00BA1225">
              <w:t>,</w:t>
            </w:r>
            <w:r w:rsidR="00077D02">
              <w:t xml:space="preserve"> through sharing stories of the city both known and unknown</w:t>
            </w:r>
            <w:r w:rsidR="00BA1225">
              <w:t>, which increased pride and confidence in the city</w:t>
            </w:r>
            <w:r w:rsidR="00077D02">
              <w:t>.</w:t>
            </w:r>
            <w:r w:rsidR="00F11787">
              <w:t xml:space="preserve"> </w:t>
            </w:r>
          </w:p>
          <w:p w:rsidR="001E3CF2" w:rsidRDefault="00F11787" w:rsidP="004F75F5">
            <w:pPr>
              <w:pStyle w:val="CCLtdTableBullet1"/>
            </w:pPr>
            <w:r>
              <w:t>Blade created significant activity on social media, with friends, family and other acquaintances sharing posts and updates that in turn acted as a catalyst to visit.</w:t>
            </w:r>
          </w:p>
          <w:p w:rsidR="00F11787" w:rsidRDefault="004D6F0D" w:rsidP="004F75F5">
            <w:pPr>
              <w:pStyle w:val="CCLtdTableBullet1"/>
            </w:pPr>
            <w:r>
              <w:t>The programme s</w:t>
            </w:r>
            <w:r w:rsidR="00F11787">
              <w:t xml:space="preserve">uccessfully engaged with audiences on an emotional level, with audiences amazed; inspired; proud; </w:t>
            </w:r>
            <w:r w:rsidR="00077D02">
              <w:t xml:space="preserve">calmed; </w:t>
            </w:r>
            <w:r w:rsidR="00F11787">
              <w:t>and</w:t>
            </w:r>
            <w:r w:rsidR="00077D02">
              <w:t xml:space="preserve"> </w:t>
            </w:r>
            <w:r w:rsidR="00F11787">
              <w:t xml:space="preserve">made happy </w:t>
            </w:r>
            <w:r w:rsidR="00077D02">
              <w:t>by artworks.</w:t>
            </w:r>
          </w:p>
          <w:p w:rsidR="00BA1225" w:rsidRDefault="00BA1225" w:rsidP="00BA1225">
            <w:pPr>
              <w:pStyle w:val="CCLtdTableBullet1"/>
            </w:pPr>
            <w:r>
              <w:t>Several artworks encouraged audiences to play, which in turn led them to interact with others that they would not normally have interacted with</w:t>
            </w:r>
            <w:r w:rsidR="004D6F0D">
              <w:t>, thus creating a sense of community</w:t>
            </w:r>
            <w:r>
              <w:t>.</w:t>
            </w:r>
          </w:p>
          <w:p w:rsidR="00BA1225" w:rsidRDefault="004D6F0D" w:rsidP="004F75F5">
            <w:pPr>
              <w:pStyle w:val="CCLtdTableBullet1"/>
            </w:pPr>
            <w:r>
              <w:t>The programme i</w:t>
            </w:r>
            <w:r w:rsidR="00BA1225">
              <w:t>ncreased audiences’ confidence to engage and participate with other arts and cultural offers within the city and take more risks on what they chose to engage and participate in, due to positive experiences.</w:t>
            </w:r>
          </w:p>
          <w:p w:rsidR="00BA1225" w:rsidRPr="00501DEB" w:rsidRDefault="00BA1225" w:rsidP="004F75F5">
            <w:pPr>
              <w:pStyle w:val="CCLtdTableBullet1"/>
            </w:pPr>
            <w:r>
              <w:t>The thought-provoking nature of Washed Up Car-go and The Train Track a</w:t>
            </w:r>
            <w:r w:rsidR="004D6F0D">
              <w:t>nd The Basket, caused audiences</w:t>
            </w:r>
            <w:r>
              <w:t xml:space="preserve"> to reflect upon contemporary issues of plastic pollution and immigration.</w:t>
            </w:r>
          </w:p>
        </w:tc>
        <w:tc>
          <w:tcPr>
            <w:tcW w:w="10490" w:type="dxa"/>
            <w:shd w:val="clear" w:color="auto" w:fill="auto"/>
          </w:tcPr>
          <w:p w:rsidR="001E3CF2" w:rsidRPr="00501DEB" w:rsidRDefault="001E3CF2" w:rsidP="003333EC">
            <w:pPr>
              <w:pStyle w:val="CCLtdTableBullet1"/>
              <w:numPr>
                <w:ilvl w:val="0"/>
                <w:numId w:val="0"/>
              </w:numPr>
              <w:ind w:left="34"/>
            </w:pPr>
          </w:p>
        </w:tc>
      </w:tr>
      <w:tr w:rsidR="001E3CF2" w:rsidRPr="00501DEB">
        <w:tc>
          <w:tcPr>
            <w:tcW w:w="10489" w:type="dxa"/>
            <w:shd w:val="clear" w:color="auto" w:fill="522887"/>
          </w:tcPr>
          <w:p w:rsidR="001E3CF2" w:rsidRPr="00501DEB" w:rsidRDefault="001E3CF2" w:rsidP="001E3CF2">
            <w:pPr>
              <w:pStyle w:val="CCLtdTableHeader"/>
              <w:spacing w:before="60" w:after="60"/>
              <w:rPr>
                <w:color w:val="FFFFFF"/>
                <w:lang w:val="en-GB"/>
              </w:rPr>
            </w:pPr>
            <w:r w:rsidRPr="00501DEB">
              <w:rPr>
                <w:color w:val="FFFFFF"/>
                <w:lang w:val="en-GB"/>
              </w:rPr>
              <w:t>OPPORTUNITIES IDENTIFIED BY LOOK UP</w:t>
            </w:r>
          </w:p>
        </w:tc>
        <w:tc>
          <w:tcPr>
            <w:tcW w:w="10490" w:type="dxa"/>
            <w:shd w:val="clear" w:color="auto" w:fill="522887"/>
          </w:tcPr>
          <w:p w:rsidR="001E3CF2" w:rsidRPr="00501DEB" w:rsidRDefault="001E3CF2" w:rsidP="001E3CF2">
            <w:pPr>
              <w:pStyle w:val="CCLtdTableHeader"/>
              <w:spacing w:before="60" w:after="60"/>
              <w:rPr>
                <w:color w:val="FFFFFF"/>
                <w:lang w:val="en-GB"/>
              </w:rPr>
            </w:pPr>
            <w:r w:rsidRPr="00501DEB">
              <w:rPr>
                <w:color w:val="FFFFFF"/>
                <w:lang w:val="en-GB"/>
              </w:rPr>
              <w:t>THREATS IDENTIFIED BY LOOK UP</w:t>
            </w:r>
          </w:p>
        </w:tc>
      </w:tr>
      <w:tr w:rsidR="001E3CF2" w:rsidRPr="00501DEB">
        <w:tc>
          <w:tcPr>
            <w:tcW w:w="10489" w:type="dxa"/>
            <w:shd w:val="clear" w:color="auto" w:fill="auto"/>
          </w:tcPr>
          <w:p w:rsidR="001E3CF2" w:rsidRPr="00501DEB" w:rsidRDefault="00C02B8D" w:rsidP="004F75F5">
            <w:pPr>
              <w:pStyle w:val="CCLtdTableBullet1"/>
            </w:pPr>
            <w:r>
              <w:t xml:space="preserve">Many audience members were inspired to consider volunteering </w:t>
            </w:r>
            <w:r w:rsidR="007E4687">
              <w:t>because of</w:t>
            </w:r>
            <w:r>
              <w:t xml:space="preserve"> their interactions with volunteers</w:t>
            </w:r>
            <w:r w:rsidR="004D6F0D">
              <w:t>, so continuing to promote opportunities to be invol</w:t>
            </w:r>
            <w:r w:rsidR="007E4687">
              <w:t>ved in volunteering in the city should result in further volunteer recruitment</w:t>
            </w:r>
            <w:r>
              <w:t>.</w:t>
            </w:r>
          </w:p>
          <w:p w:rsidR="001E3CF2" w:rsidRDefault="004D6F0D" w:rsidP="005F7944">
            <w:pPr>
              <w:pStyle w:val="CCLtdTableBullet1"/>
            </w:pPr>
            <w:r>
              <w:t>The programme h</w:t>
            </w:r>
            <w:r w:rsidR="00C02B8D">
              <w:t xml:space="preserve">ighlighted the potential for arts and culture to </w:t>
            </w:r>
            <w:r w:rsidR="005F7944">
              <w:t>explore issues pertinent to community and social cohesion, as well as actively create it.</w:t>
            </w:r>
          </w:p>
          <w:p w:rsidR="00B20562" w:rsidRPr="00501DEB" w:rsidRDefault="00B20562" w:rsidP="005F7944">
            <w:pPr>
              <w:pStyle w:val="CCLtdTableBullet1"/>
            </w:pPr>
            <w:r>
              <w:t>The programme appears to have had a more significant impact on local residents and those from Hull’s more deprived communities, which may suggest there are opportunities to use public art to develop local audiences for visual arts and other art forms.</w:t>
            </w:r>
          </w:p>
        </w:tc>
        <w:tc>
          <w:tcPr>
            <w:tcW w:w="10490" w:type="dxa"/>
            <w:shd w:val="clear" w:color="auto" w:fill="auto"/>
          </w:tcPr>
          <w:p w:rsidR="001E3CF2" w:rsidRPr="00501DEB" w:rsidRDefault="001E3CF2" w:rsidP="00857B24">
            <w:pPr>
              <w:pStyle w:val="CCLtdTableBullet1"/>
              <w:numPr>
                <w:ilvl w:val="0"/>
                <w:numId w:val="0"/>
              </w:numPr>
              <w:ind w:left="34"/>
            </w:pPr>
          </w:p>
        </w:tc>
      </w:tr>
    </w:tbl>
    <w:p w:rsidR="001E3CF2" w:rsidRPr="00501DEB" w:rsidRDefault="001E3CF2" w:rsidP="001E3CF2">
      <w:pPr>
        <w:pStyle w:val="CCLtdNormal"/>
        <w:ind w:left="0"/>
        <w:rPr>
          <w:lang w:val="en-GB"/>
        </w:rPr>
      </w:pPr>
    </w:p>
    <w:p w:rsidR="001E3CF2" w:rsidRPr="00501DEB" w:rsidRDefault="001E3CF2" w:rsidP="001E3CF2">
      <w:pPr>
        <w:pStyle w:val="CCLtdTableTitle"/>
        <w:ind w:hanging="1077"/>
        <w:rPr>
          <w:lang w:val="en-GB"/>
        </w:rPr>
      </w:pPr>
    </w:p>
    <w:sectPr w:rsidR="001E3CF2" w:rsidRPr="00501DEB" w:rsidSect="001E3CF2">
      <w:pgSz w:w="23811" w:h="16838" w:orient="landscape" w:code="8"/>
      <w:pgMar w:top="1418" w:right="1531"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7DF" w:rsidRDefault="00B207DF">
      <w:pPr>
        <w:spacing w:after="0"/>
      </w:pPr>
      <w:r>
        <w:separator/>
      </w:r>
    </w:p>
  </w:endnote>
  <w:endnote w:type="continuationSeparator" w:id="0">
    <w:p w:rsidR="00B207DF" w:rsidRDefault="00B207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Yu Gothic UI">
    <w:altName w:val="MS Gothic"/>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D8C" w:rsidRDefault="007F6D8C" w:rsidP="001E3C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6D8C" w:rsidRDefault="007F6D8C" w:rsidP="001E3C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D8C" w:rsidRPr="00501DEB" w:rsidRDefault="007F6D8C" w:rsidP="00501DEB">
    <w:pPr>
      <w:pStyle w:val="CCLtdPageNumber"/>
      <w:framePr w:wrap="around"/>
      <w:rPr>
        <w:rStyle w:val="PageNumber"/>
      </w:rPr>
    </w:pPr>
    <w:r w:rsidRPr="00501DEB">
      <w:rPr>
        <w:rStyle w:val="PageNumber"/>
      </w:rPr>
      <w:fldChar w:fldCharType="begin"/>
    </w:r>
    <w:r w:rsidRPr="00501DEB">
      <w:rPr>
        <w:rStyle w:val="PageNumber"/>
      </w:rPr>
      <w:instrText xml:space="preserve">PAGE  </w:instrText>
    </w:r>
    <w:r w:rsidRPr="00501DEB">
      <w:rPr>
        <w:rStyle w:val="PageNumber"/>
      </w:rPr>
      <w:fldChar w:fldCharType="separate"/>
    </w:r>
    <w:r w:rsidR="001C4BD9">
      <w:rPr>
        <w:rStyle w:val="PageNumber"/>
        <w:noProof/>
      </w:rPr>
      <w:t>115</w:t>
    </w:r>
    <w:r w:rsidRPr="00501DEB">
      <w:rPr>
        <w:rStyle w:val="PageNumber"/>
      </w:rPr>
      <w:fldChar w:fldCharType="end"/>
    </w:r>
  </w:p>
  <w:p w:rsidR="007F6D8C" w:rsidRPr="001E01D7" w:rsidRDefault="007F6D8C" w:rsidP="001E3CF2">
    <w:pPr>
      <w:pStyle w:val="CCLtdFooterDate"/>
    </w:pPr>
    <w:r>
      <w:t>February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7DF" w:rsidRDefault="00B207DF">
      <w:pPr>
        <w:spacing w:after="0"/>
      </w:pPr>
      <w:r>
        <w:separator/>
      </w:r>
    </w:p>
  </w:footnote>
  <w:footnote w:type="continuationSeparator" w:id="0">
    <w:p w:rsidR="00B207DF" w:rsidRDefault="00B207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D8C" w:rsidRPr="001E01D7" w:rsidRDefault="007F6D8C" w:rsidP="001E3CF2">
    <w:pPr>
      <w:pStyle w:val="CCLtdHeader"/>
    </w:pPr>
    <w:r>
      <w:t>Hul UK City of Culture 2017 Ltd</w:t>
    </w:r>
  </w:p>
  <w:p w:rsidR="007F6D8C" w:rsidRPr="001E01D7" w:rsidRDefault="007F6D8C" w:rsidP="001E3CF2">
    <w:pPr>
      <w:pStyle w:val="CCLtdHeader"/>
    </w:pPr>
    <w:r>
      <w:t>Look Up: Evaluation Report</w:t>
    </w:r>
  </w:p>
  <w:p w:rsidR="007F6D8C" w:rsidRDefault="007F6D8C" w:rsidP="001E3CF2">
    <w:pPr>
      <w:pStyle w:val="CCLtdHeader"/>
    </w:pPr>
    <w:r>
      <w:t>Chapter 5</w:t>
    </w:r>
    <w:r w:rsidRPr="001E01D7">
      <w:t xml:space="preserve">: </w:t>
    </w:r>
    <w:r>
      <w:t>Society &amp; Wellebing</w:t>
    </w:r>
  </w:p>
  <w:p w:rsidR="007F6D8C" w:rsidRPr="001E01D7" w:rsidRDefault="007F6D8C" w:rsidP="001E3CF2">
    <w:pPr>
      <w:pStyle w:val="CCLtd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27A4"/>
    <w:multiLevelType w:val="multilevel"/>
    <w:tmpl w:val="0409001F"/>
    <w:numStyleLink w:val="111111"/>
  </w:abstractNum>
  <w:abstractNum w:abstractNumId="1" w15:restartNumberingAfterBreak="0">
    <w:nsid w:val="07A165E1"/>
    <w:multiLevelType w:val="hybridMultilevel"/>
    <w:tmpl w:val="31F62B24"/>
    <w:lvl w:ilvl="0" w:tplc="25BE393C">
      <w:start w:val="1"/>
      <w:numFmt w:val="bullet"/>
      <w:pStyle w:val="Hull2017Bullet"/>
      <w:lvlText w:val=""/>
      <w:lvlJc w:val="left"/>
      <w:pPr>
        <w:ind w:left="1440" w:hanging="360"/>
      </w:pPr>
      <w:rPr>
        <w:rFonts w:ascii="Symbol" w:hAnsi="Symbol" w:hint="default"/>
      </w:rPr>
    </w:lvl>
    <w:lvl w:ilvl="1" w:tplc="38965382">
      <w:start w:val="1"/>
      <w:numFmt w:val="bullet"/>
      <w:pStyle w:val="Hull2017Bullet2"/>
      <w:lvlText w:val="-"/>
      <w:lvlJc w:val="left"/>
      <w:pPr>
        <w:ind w:left="2160" w:hanging="360"/>
      </w:pPr>
      <w:rPr>
        <w:rFonts w:ascii="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DF3136"/>
    <w:multiLevelType w:val="multilevel"/>
    <w:tmpl w:val="0409001F"/>
    <w:numStyleLink w:val="111111"/>
  </w:abstractNum>
  <w:abstractNum w:abstractNumId="3" w15:restartNumberingAfterBreak="0">
    <w:nsid w:val="0DCE4726"/>
    <w:multiLevelType w:val="multilevel"/>
    <w:tmpl w:val="5A6088E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4477D3"/>
    <w:multiLevelType w:val="hybridMultilevel"/>
    <w:tmpl w:val="FA529D40"/>
    <w:lvl w:ilvl="0" w:tplc="860E4094">
      <w:numFmt w:val="bullet"/>
      <w:lvlText w:val=""/>
      <w:lvlJc w:val="left"/>
      <w:pPr>
        <w:ind w:left="1437" w:hanging="360"/>
      </w:pPr>
      <w:rPr>
        <w:rFonts w:ascii="Wingdings" w:eastAsia="Cambria" w:hAnsi="Wingdings" w:cs="Times New Roman" w:hint="default"/>
      </w:rPr>
    </w:lvl>
    <w:lvl w:ilvl="1" w:tplc="04090003" w:tentative="1">
      <w:start w:val="1"/>
      <w:numFmt w:val="bullet"/>
      <w:lvlText w:val="o"/>
      <w:lvlJc w:val="left"/>
      <w:pPr>
        <w:ind w:left="2157" w:hanging="360"/>
      </w:pPr>
      <w:rPr>
        <w:rFonts w:ascii="Courier New" w:hAnsi="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5" w15:restartNumberingAfterBreak="0">
    <w:nsid w:val="190225FC"/>
    <w:multiLevelType w:val="multilevel"/>
    <w:tmpl w:val="83AA6E60"/>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F63B45"/>
    <w:multiLevelType w:val="multilevel"/>
    <w:tmpl w:val="7D44FC14"/>
    <w:numStyleLink w:val="NumbLstTable"/>
  </w:abstractNum>
  <w:abstractNum w:abstractNumId="7" w15:restartNumberingAfterBreak="0">
    <w:nsid w:val="1E8E661D"/>
    <w:multiLevelType w:val="multilevel"/>
    <w:tmpl w:val="7D44FC14"/>
    <w:styleLink w:val="NumbLstTable"/>
    <w:lvl w:ilvl="0">
      <w:start w:val="1"/>
      <w:numFmt w:val="bullet"/>
      <w:pStyle w:val="TableBullet"/>
      <w:lvlText w:val=""/>
      <w:lvlJc w:val="left"/>
      <w:pPr>
        <w:tabs>
          <w:tab w:val="num" w:pos="425"/>
        </w:tabs>
        <w:ind w:left="425" w:hanging="340"/>
      </w:pPr>
      <w:rPr>
        <w:rFonts w:ascii="Symbol" w:hAnsi="Symbol" w:hint="default"/>
        <w:color w:val="FF5000"/>
      </w:rPr>
    </w:lvl>
    <w:lvl w:ilvl="1">
      <w:start w:val="1"/>
      <w:numFmt w:val="none"/>
      <w:suff w:val="nothing"/>
      <w:lvlText w:val=""/>
      <w:lvlJc w:val="left"/>
      <w:pPr>
        <w:ind w:left="340" w:firstLine="0"/>
      </w:pPr>
      <w:rPr>
        <w:rFonts w:hint="default"/>
      </w:rPr>
    </w:lvl>
    <w:lvl w:ilvl="2">
      <w:start w:val="1"/>
      <w:numFmt w:val="none"/>
      <w:suff w:val="nothing"/>
      <w:lvlText w:val=""/>
      <w:lvlJc w:val="left"/>
      <w:pPr>
        <w:ind w:left="340" w:firstLine="0"/>
      </w:pPr>
      <w:rPr>
        <w:rFonts w:hint="default"/>
      </w:rPr>
    </w:lvl>
    <w:lvl w:ilvl="3">
      <w:start w:val="1"/>
      <w:numFmt w:val="none"/>
      <w:suff w:val="nothing"/>
      <w:lvlText w:val=""/>
      <w:lvlJc w:val="left"/>
      <w:pPr>
        <w:ind w:left="340" w:firstLine="0"/>
      </w:pPr>
      <w:rPr>
        <w:rFonts w:hint="default"/>
      </w:rPr>
    </w:lvl>
    <w:lvl w:ilvl="4">
      <w:start w:val="1"/>
      <w:numFmt w:val="none"/>
      <w:suff w:val="nothing"/>
      <w:lvlText w:val=""/>
      <w:lvlJc w:val="left"/>
      <w:pPr>
        <w:ind w:left="340" w:firstLine="0"/>
      </w:pPr>
      <w:rPr>
        <w:rFonts w:hint="default"/>
      </w:rPr>
    </w:lvl>
    <w:lvl w:ilvl="5">
      <w:start w:val="1"/>
      <w:numFmt w:val="none"/>
      <w:suff w:val="nothing"/>
      <w:lvlText w:val=""/>
      <w:lvlJc w:val="left"/>
      <w:pPr>
        <w:ind w:left="340" w:firstLine="0"/>
      </w:pPr>
      <w:rPr>
        <w:rFonts w:hint="default"/>
      </w:rPr>
    </w:lvl>
    <w:lvl w:ilvl="6">
      <w:start w:val="1"/>
      <w:numFmt w:val="none"/>
      <w:suff w:val="nothing"/>
      <w:lvlText w:val=""/>
      <w:lvlJc w:val="left"/>
      <w:pPr>
        <w:ind w:left="340" w:firstLine="0"/>
      </w:pPr>
      <w:rPr>
        <w:rFonts w:hint="default"/>
      </w:rPr>
    </w:lvl>
    <w:lvl w:ilvl="7">
      <w:start w:val="1"/>
      <w:numFmt w:val="none"/>
      <w:suff w:val="nothing"/>
      <w:lvlText w:val=""/>
      <w:lvlJc w:val="left"/>
      <w:pPr>
        <w:ind w:left="340" w:firstLine="0"/>
      </w:pPr>
      <w:rPr>
        <w:rFonts w:hint="default"/>
      </w:rPr>
    </w:lvl>
    <w:lvl w:ilvl="8">
      <w:start w:val="1"/>
      <w:numFmt w:val="none"/>
      <w:suff w:val="nothing"/>
      <w:lvlText w:val=""/>
      <w:lvlJc w:val="left"/>
      <w:pPr>
        <w:ind w:left="340" w:firstLine="0"/>
      </w:pPr>
      <w:rPr>
        <w:rFonts w:hint="default"/>
      </w:rPr>
    </w:lvl>
  </w:abstractNum>
  <w:abstractNum w:abstractNumId="8" w15:restartNumberingAfterBreak="0">
    <w:nsid w:val="20D073A1"/>
    <w:multiLevelType w:val="hybridMultilevel"/>
    <w:tmpl w:val="9C560898"/>
    <w:lvl w:ilvl="0" w:tplc="217A997C">
      <w:start w:val="1"/>
      <w:numFmt w:val="bullet"/>
      <w:pStyle w:val="CCLtdBullet1"/>
      <w:lvlText w:val=""/>
      <w:lvlJc w:val="left"/>
      <w:pPr>
        <w:ind w:left="1080" w:hanging="360"/>
      </w:pPr>
      <w:rPr>
        <w:rFonts w:ascii="Symbol" w:hAnsi="Symbol" w:hint="default"/>
      </w:rPr>
    </w:lvl>
    <w:lvl w:ilvl="1" w:tplc="BE5E9E9C">
      <w:start w:val="1"/>
      <w:numFmt w:val="bullet"/>
      <w:pStyle w:val="CCLtdBullet2"/>
      <w:lvlText w:val="–"/>
      <w:lvlJc w:val="left"/>
      <w:pPr>
        <w:ind w:left="1800" w:hanging="360"/>
      </w:pPr>
      <w:rPr>
        <w:rFonts w:ascii="Tahoma" w:hAnsi="Tahoma"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1D71D7"/>
    <w:multiLevelType w:val="multilevel"/>
    <w:tmpl w:val="0409001F"/>
    <w:numStyleLink w:val="111111"/>
  </w:abstractNum>
  <w:abstractNum w:abstractNumId="10" w15:restartNumberingAfterBreak="0">
    <w:nsid w:val="2E2D3E7E"/>
    <w:multiLevelType w:val="multilevel"/>
    <w:tmpl w:val="6FE62C7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DB0376"/>
    <w:multiLevelType w:val="multilevel"/>
    <w:tmpl w:val="0409001F"/>
    <w:numStyleLink w:val="111111"/>
  </w:abstractNum>
  <w:abstractNum w:abstractNumId="12" w15:restartNumberingAfterBreak="0">
    <w:nsid w:val="359B3928"/>
    <w:multiLevelType w:val="multilevel"/>
    <w:tmpl w:val="0409001F"/>
    <w:numStyleLink w:val="111111"/>
  </w:abstractNum>
  <w:abstractNum w:abstractNumId="13" w15:restartNumberingAfterBreak="0">
    <w:nsid w:val="388C0CC3"/>
    <w:multiLevelType w:val="multilevel"/>
    <w:tmpl w:val="58EE27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F4267D"/>
    <w:multiLevelType w:val="multilevel"/>
    <w:tmpl w:val="83AA6E60"/>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985B34"/>
    <w:multiLevelType w:val="multilevel"/>
    <w:tmpl w:val="0409001F"/>
    <w:styleLink w:val="11111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7E56DE"/>
    <w:multiLevelType w:val="multilevel"/>
    <w:tmpl w:val="D48C7742"/>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8B5081"/>
    <w:multiLevelType w:val="multilevel"/>
    <w:tmpl w:val="83AA6E60"/>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EB62C9"/>
    <w:multiLevelType w:val="multilevel"/>
    <w:tmpl w:val="0409001F"/>
    <w:numStyleLink w:val="111111"/>
  </w:abstractNum>
  <w:abstractNum w:abstractNumId="19" w15:restartNumberingAfterBreak="0">
    <w:nsid w:val="5AC57D31"/>
    <w:multiLevelType w:val="hybridMultilevel"/>
    <w:tmpl w:val="B54E27F2"/>
    <w:lvl w:ilvl="0" w:tplc="DFEC1CCC">
      <w:start w:val="1"/>
      <w:numFmt w:val="decimal"/>
      <w:pStyle w:val="SectionHeader"/>
      <w:lvlText w:val="%1."/>
      <w:lvlJc w:val="left"/>
      <w:pPr>
        <w:ind w:left="371" w:hanging="360"/>
      </w:pPr>
      <w:rPr>
        <w:rFonts w:hint="default"/>
      </w:rPr>
    </w:lvl>
    <w:lvl w:ilvl="1" w:tplc="08090019">
      <w:start w:val="1"/>
      <w:numFmt w:val="lowerLetter"/>
      <w:lvlText w:val="%2."/>
      <w:lvlJc w:val="left"/>
      <w:pPr>
        <w:ind w:left="1091" w:hanging="360"/>
      </w:pPr>
    </w:lvl>
    <w:lvl w:ilvl="2" w:tplc="08090019">
      <w:start w:val="1"/>
      <w:numFmt w:val="lowerLetter"/>
      <w:lvlText w:val="%3."/>
      <w:lvlJc w:val="left"/>
      <w:pPr>
        <w:ind w:left="1811" w:hanging="180"/>
      </w:pPr>
    </w:lvl>
    <w:lvl w:ilvl="3" w:tplc="0809000F" w:tentative="1">
      <w:start w:val="1"/>
      <w:numFmt w:val="decimal"/>
      <w:lvlText w:val="%4."/>
      <w:lvlJc w:val="left"/>
      <w:pPr>
        <w:ind w:left="2531" w:hanging="360"/>
      </w:pPr>
    </w:lvl>
    <w:lvl w:ilvl="4" w:tplc="08090019" w:tentative="1">
      <w:start w:val="1"/>
      <w:numFmt w:val="lowerLetter"/>
      <w:lvlText w:val="%5."/>
      <w:lvlJc w:val="left"/>
      <w:pPr>
        <w:ind w:left="3251" w:hanging="360"/>
      </w:pPr>
    </w:lvl>
    <w:lvl w:ilvl="5" w:tplc="0809001B" w:tentative="1">
      <w:start w:val="1"/>
      <w:numFmt w:val="lowerRoman"/>
      <w:lvlText w:val="%6."/>
      <w:lvlJc w:val="right"/>
      <w:pPr>
        <w:ind w:left="3971" w:hanging="180"/>
      </w:pPr>
    </w:lvl>
    <w:lvl w:ilvl="6" w:tplc="0809000F" w:tentative="1">
      <w:start w:val="1"/>
      <w:numFmt w:val="decimal"/>
      <w:lvlText w:val="%7."/>
      <w:lvlJc w:val="left"/>
      <w:pPr>
        <w:ind w:left="4691" w:hanging="360"/>
      </w:pPr>
    </w:lvl>
    <w:lvl w:ilvl="7" w:tplc="08090019" w:tentative="1">
      <w:start w:val="1"/>
      <w:numFmt w:val="lowerLetter"/>
      <w:lvlText w:val="%8."/>
      <w:lvlJc w:val="left"/>
      <w:pPr>
        <w:ind w:left="5411" w:hanging="360"/>
      </w:pPr>
    </w:lvl>
    <w:lvl w:ilvl="8" w:tplc="0809001B" w:tentative="1">
      <w:start w:val="1"/>
      <w:numFmt w:val="lowerRoman"/>
      <w:lvlText w:val="%9."/>
      <w:lvlJc w:val="right"/>
      <w:pPr>
        <w:ind w:left="6131" w:hanging="180"/>
      </w:pPr>
    </w:lvl>
  </w:abstractNum>
  <w:abstractNum w:abstractNumId="20" w15:restartNumberingAfterBreak="0">
    <w:nsid w:val="5C4051A4"/>
    <w:multiLevelType w:val="hybridMultilevel"/>
    <w:tmpl w:val="7EFACA22"/>
    <w:lvl w:ilvl="0" w:tplc="2D5A5042">
      <w:start w:val="1"/>
      <w:numFmt w:val="bullet"/>
      <w:pStyle w:val="CCLtdTableBullet2"/>
      <w:lvlText w:val="–"/>
      <w:lvlJc w:val="left"/>
      <w:pPr>
        <w:ind w:left="677" w:hanging="360"/>
      </w:pPr>
      <w:rPr>
        <w:rFonts w:ascii="Tahoma" w:hAnsi="Tahoma" w:hint="default"/>
      </w:rPr>
    </w:lvl>
    <w:lvl w:ilvl="1" w:tplc="77185A04">
      <w:start w:val="1"/>
      <w:numFmt w:val="bullet"/>
      <w:lvlText w:val="–"/>
      <w:lvlJc w:val="left"/>
      <w:pPr>
        <w:ind w:left="1397" w:hanging="360"/>
      </w:pPr>
      <w:rPr>
        <w:rFonts w:ascii="Tahoma" w:hAnsi="Tahoma"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21" w15:restartNumberingAfterBreak="0">
    <w:nsid w:val="64820A0C"/>
    <w:multiLevelType w:val="multilevel"/>
    <w:tmpl w:val="7E18006E"/>
    <w:lvl w:ilvl="0">
      <w:start w:val="5"/>
      <w:numFmt w:val="decimal"/>
      <w:pStyle w:val="CCLtdChapterHeading"/>
      <w:lvlText w:val="%1."/>
      <w:lvlJc w:val="left"/>
      <w:pPr>
        <w:ind w:left="360" w:hanging="360"/>
      </w:pPr>
      <w:rPr>
        <w:rFonts w:hint="default"/>
      </w:rPr>
    </w:lvl>
    <w:lvl w:ilvl="1">
      <w:start w:val="1"/>
      <w:numFmt w:val="decimal"/>
      <w:pStyle w:val="CCLtdSubHeading"/>
      <w:lvlText w:val="%1.%2."/>
      <w:lvlJc w:val="left"/>
      <w:pPr>
        <w:ind w:left="792" w:hanging="432"/>
      </w:pPr>
      <w:rPr>
        <w:rFonts w:hint="default"/>
      </w:rPr>
    </w:lvl>
    <w:lvl w:ilvl="2">
      <w:start w:val="1"/>
      <w:numFmt w:val="decimal"/>
      <w:pStyle w:val="CCLtdSubsubheading"/>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8FD0915"/>
    <w:multiLevelType w:val="multilevel"/>
    <w:tmpl w:val="3774EB78"/>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197788"/>
    <w:multiLevelType w:val="hybridMultilevel"/>
    <w:tmpl w:val="6FE62C74"/>
    <w:lvl w:ilvl="0" w:tplc="AC88877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3D3B7F"/>
    <w:multiLevelType w:val="hybridMultilevel"/>
    <w:tmpl w:val="0A2C7498"/>
    <w:lvl w:ilvl="0" w:tplc="8174A0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20"/>
  </w:num>
  <w:num w:numId="4">
    <w:abstractNumId w:val="23"/>
  </w:num>
  <w:num w:numId="5">
    <w:abstractNumId w:val="24"/>
  </w:num>
  <w:num w:numId="6">
    <w:abstractNumId w:val="3"/>
  </w:num>
  <w:num w:numId="7">
    <w:abstractNumId w:val="16"/>
  </w:num>
  <w:num w:numId="8">
    <w:abstractNumId w:val="22"/>
  </w:num>
  <w:num w:numId="9">
    <w:abstractNumId w:val="5"/>
  </w:num>
  <w:num w:numId="10">
    <w:abstractNumId w:val="10"/>
  </w:num>
  <w:num w:numId="11">
    <w:abstractNumId w:val="15"/>
  </w:num>
  <w:num w:numId="12">
    <w:abstractNumId w:val="9"/>
  </w:num>
  <w:num w:numId="13">
    <w:abstractNumId w:val="17"/>
  </w:num>
  <w:num w:numId="14">
    <w:abstractNumId w:val="11"/>
  </w:num>
  <w:num w:numId="15">
    <w:abstractNumId w:val="14"/>
  </w:num>
  <w:num w:numId="16">
    <w:abstractNumId w:val="18"/>
  </w:num>
  <w:num w:numId="17">
    <w:abstractNumId w:val="0"/>
  </w:num>
  <w:num w:numId="18">
    <w:abstractNumId w:val="12"/>
  </w:num>
  <w:num w:numId="19">
    <w:abstractNumId w:val="2"/>
  </w:num>
  <w:num w:numId="20">
    <w:abstractNumId w:val="21"/>
  </w:num>
  <w:num w:numId="21">
    <w:abstractNumId w:val="4"/>
  </w:num>
  <w:num w:numId="22">
    <w:abstractNumId w:val="1"/>
  </w:num>
  <w:num w:numId="23">
    <w:abstractNumId w:val="19"/>
  </w:num>
  <w:num w:numId="24">
    <w:abstractNumId w:val="7"/>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1077"/>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22B33"/>
    <w:rsid w:val="00072D75"/>
    <w:rsid w:val="00077D02"/>
    <w:rsid w:val="0009024E"/>
    <w:rsid w:val="000C349C"/>
    <w:rsid w:val="000F517E"/>
    <w:rsid w:val="0016401F"/>
    <w:rsid w:val="00181D77"/>
    <w:rsid w:val="00192E98"/>
    <w:rsid w:val="00194FAC"/>
    <w:rsid w:val="001C2864"/>
    <w:rsid w:val="001C4BD9"/>
    <w:rsid w:val="001E3CF2"/>
    <w:rsid w:val="00200DF6"/>
    <w:rsid w:val="0021225D"/>
    <w:rsid w:val="002166D5"/>
    <w:rsid w:val="0024227F"/>
    <w:rsid w:val="002674BA"/>
    <w:rsid w:val="00273081"/>
    <w:rsid w:val="00295594"/>
    <w:rsid w:val="002A16D2"/>
    <w:rsid w:val="002C185C"/>
    <w:rsid w:val="003333EC"/>
    <w:rsid w:val="0033623A"/>
    <w:rsid w:val="003738CF"/>
    <w:rsid w:val="003B01E6"/>
    <w:rsid w:val="004077A0"/>
    <w:rsid w:val="00440300"/>
    <w:rsid w:val="00445445"/>
    <w:rsid w:val="00497FDC"/>
    <w:rsid w:val="004A31B6"/>
    <w:rsid w:val="004D6F0D"/>
    <w:rsid w:val="004E50F0"/>
    <w:rsid w:val="004F75F5"/>
    <w:rsid w:val="00501DEB"/>
    <w:rsid w:val="00563462"/>
    <w:rsid w:val="0057265B"/>
    <w:rsid w:val="005D3982"/>
    <w:rsid w:val="005F0C8F"/>
    <w:rsid w:val="005F7944"/>
    <w:rsid w:val="00607349"/>
    <w:rsid w:val="00653C6F"/>
    <w:rsid w:val="006D0664"/>
    <w:rsid w:val="007B79A8"/>
    <w:rsid w:val="007C7647"/>
    <w:rsid w:val="007E4687"/>
    <w:rsid w:val="007F20D2"/>
    <w:rsid w:val="007F6D8C"/>
    <w:rsid w:val="008307D7"/>
    <w:rsid w:val="00857B24"/>
    <w:rsid w:val="00875949"/>
    <w:rsid w:val="00881FA7"/>
    <w:rsid w:val="008B0A55"/>
    <w:rsid w:val="008D4B4D"/>
    <w:rsid w:val="00903323"/>
    <w:rsid w:val="00976CE4"/>
    <w:rsid w:val="009A2B07"/>
    <w:rsid w:val="009E5999"/>
    <w:rsid w:val="00A03568"/>
    <w:rsid w:val="00A15D03"/>
    <w:rsid w:val="00A22B33"/>
    <w:rsid w:val="00A405E8"/>
    <w:rsid w:val="00A41355"/>
    <w:rsid w:val="00A60461"/>
    <w:rsid w:val="00A875D5"/>
    <w:rsid w:val="00A90C97"/>
    <w:rsid w:val="00AB75C8"/>
    <w:rsid w:val="00AC65E9"/>
    <w:rsid w:val="00AE5839"/>
    <w:rsid w:val="00B00775"/>
    <w:rsid w:val="00B13ECE"/>
    <w:rsid w:val="00B20562"/>
    <w:rsid w:val="00B207DF"/>
    <w:rsid w:val="00B6107A"/>
    <w:rsid w:val="00B74CB8"/>
    <w:rsid w:val="00BA0ACE"/>
    <w:rsid w:val="00BA1225"/>
    <w:rsid w:val="00BB35DF"/>
    <w:rsid w:val="00BC1930"/>
    <w:rsid w:val="00C02B8D"/>
    <w:rsid w:val="00C85074"/>
    <w:rsid w:val="00CD27FE"/>
    <w:rsid w:val="00D8572B"/>
    <w:rsid w:val="00D93331"/>
    <w:rsid w:val="00DB1FC6"/>
    <w:rsid w:val="00E11243"/>
    <w:rsid w:val="00E52FEB"/>
    <w:rsid w:val="00E7611D"/>
    <w:rsid w:val="00EA2EF0"/>
    <w:rsid w:val="00ED7D3F"/>
    <w:rsid w:val="00F06D3D"/>
    <w:rsid w:val="00F11787"/>
    <w:rsid w:val="00F1793F"/>
    <w:rsid w:val="00F37D1F"/>
    <w:rsid w:val="00F53CC7"/>
    <w:rsid w:val="00F75AB8"/>
    <w:rsid w:val="00F93D4D"/>
    <w:rsid w:val="00F961D8"/>
    <w:rsid w:val="00FA297B"/>
    <w:rsid w:val="00FF76B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5E468"/>
  <w15:docId w15:val="{53C65AF4-140F-44D0-9904-98B7E4F9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4"/>
        <w:szCs w:val="24"/>
        <w:lang w:val="en-GB" w:eastAsia="en-US" w:bidi="ar-SA"/>
      </w:rPr>
    </w:rPrDefault>
    <w:pPrDefault/>
  </w:docDefaults>
  <w:latentStyles w:defLockedState="0" w:defUIPriority="0" w:defSemiHidden="0" w:defUnhideWhenUsed="0" w:defQFormat="0" w:count="373">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669F9"/>
    <w:pPr>
      <w:spacing w:after="200"/>
    </w:pPr>
    <w:rPr>
      <w:lang w:val="en-US"/>
    </w:rPr>
  </w:style>
  <w:style w:type="paragraph" w:styleId="Heading1">
    <w:name w:val="heading 1"/>
    <w:basedOn w:val="Normal"/>
    <w:next w:val="Normal"/>
    <w:link w:val="Heading1Char"/>
    <w:uiPriority w:val="9"/>
    <w:qFormat/>
    <w:rsid w:val="00B36E98"/>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
    <w:qFormat/>
    <w:rsid w:val="00B36E98"/>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uiPriority w:val="9"/>
    <w:qFormat/>
    <w:rsid w:val="005573EE"/>
    <w:pPr>
      <w:keepNext/>
      <w:spacing w:before="240" w:after="60"/>
      <w:outlineLvl w:val="2"/>
    </w:pPr>
    <w:rPr>
      <w:rFonts w:ascii="Calibri" w:eastAsia="Times New Roman"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B33"/>
    <w:pPr>
      <w:tabs>
        <w:tab w:val="center" w:pos="4320"/>
        <w:tab w:val="right" w:pos="8640"/>
      </w:tabs>
      <w:spacing w:after="0"/>
    </w:pPr>
  </w:style>
  <w:style w:type="character" w:customStyle="1" w:styleId="HeaderChar">
    <w:name w:val="Header Char"/>
    <w:basedOn w:val="DefaultParagraphFont"/>
    <w:link w:val="Header"/>
    <w:uiPriority w:val="99"/>
    <w:rsid w:val="00A22B33"/>
  </w:style>
  <w:style w:type="paragraph" w:styleId="Footer">
    <w:name w:val="footer"/>
    <w:basedOn w:val="Normal"/>
    <w:link w:val="FooterChar"/>
    <w:uiPriority w:val="99"/>
    <w:unhideWhenUsed/>
    <w:rsid w:val="00A22B33"/>
    <w:pPr>
      <w:tabs>
        <w:tab w:val="center" w:pos="4320"/>
        <w:tab w:val="right" w:pos="8640"/>
      </w:tabs>
      <w:spacing w:after="0"/>
    </w:pPr>
  </w:style>
  <w:style w:type="character" w:customStyle="1" w:styleId="FooterChar">
    <w:name w:val="Footer Char"/>
    <w:basedOn w:val="DefaultParagraphFont"/>
    <w:link w:val="Footer"/>
    <w:uiPriority w:val="99"/>
    <w:rsid w:val="00A22B33"/>
  </w:style>
  <w:style w:type="paragraph" w:customStyle="1" w:styleId="CCLtdHeader">
    <w:name w:val="CC Ltd_Header"/>
    <w:basedOn w:val="Header"/>
    <w:qFormat/>
    <w:rsid w:val="001E01D7"/>
    <w:rPr>
      <w:rFonts w:ascii="Tahoma" w:hAnsi="Tahoma"/>
      <w:noProof/>
      <w:color w:val="404040"/>
      <w:sz w:val="22"/>
    </w:rPr>
  </w:style>
  <w:style w:type="character" w:styleId="PageNumber">
    <w:name w:val="page number"/>
    <w:basedOn w:val="DefaultParagraphFont"/>
    <w:uiPriority w:val="99"/>
    <w:semiHidden/>
    <w:unhideWhenUsed/>
    <w:rsid w:val="00A22B33"/>
  </w:style>
  <w:style w:type="paragraph" w:customStyle="1" w:styleId="CCLtdPageNumber">
    <w:name w:val="CC Ltd_Page Number"/>
    <w:basedOn w:val="Footer"/>
    <w:qFormat/>
    <w:rsid w:val="00501DEB"/>
    <w:pPr>
      <w:framePr w:wrap="around" w:vAnchor="text" w:hAnchor="margin" w:xAlign="right" w:y="1"/>
    </w:pPr>
    <w:rPr>
      <w:rFonts w:ascii="Trebuchet MS" w:hAnsi="Trebuchet MS"/>
      <w:color w:val="404040"/>
      <w:sz w:val="22"/>
    </w:rPr>
  </w:style>
  <w:style w:type="character" w:customStyle="1" w:styleId="Heading1Char">
    <w:name w:val="Heading 1 Char"/>
    <w:link w:val="Heading1"/>
    <w:uiPriority w:val="9"/>
    <w:rsid w:val="00B36E98"/>
    <w:rPr>
      <w:rFonts w:ascii="Calibri" w:eastAsia="Times New Roman" w:hAnsi="Calibri" w:cs="Times New Roman"/>
      <w:b/>
      <w:bCs/>
      <w:kern w:val="32"/>
      <w:sz w:val="32"/>
      <w:szCs w:val="32"/>
      <w:lang w:val="en-US"/>
    </w:rPr>
  </w:style>
  <w:style w:type="paragraph" w:customStyle="1" w:styleId="CCLtdChapterHeading">
    <w:name w:val="CC Ltd_Chapter Heading"/>
    <w:basedOn w:val="Heading1"/>
    <w:next w:val="CCLtdNormal"/>
    <w:qFormat/>
    <w:rsid w:val="004A31B6"/>
    <w:pPr>
      <w:numPr>
        <w:numId w:val="20"/>
      </w:numPr>
      <w:ind w:left="1077" w:hanging="1077"/>
    </w:pPr>
    <w:rPr>
      <w:rFonts w:ascii="Trebuchet MS" w:hAnsi="Trebuchet MS"/>
      <w:b w:val="0"/>
      <w:color w:val="522887"/>
      <w:sz w:val="40"/>
      <w:lang w:val="en-GB"/>
    </w:rPr>
  </w:style>
  <w:style w:type="character" w:customStyle="1" w:styleId="Heading2Char">
    <w:name w:val="Heading 2 Char"/>
    <w:link w:val="Heading2"/>
    <w:uiPriority w:val="9"/>
    <w:rsid w:val="00B36E98"/>
    <w:rPr>
      <w:rFonts w:ascii="Calibri" w:eastAsia="Times New Roman" w:hAnsi="Calibri" w:cs="Times New Roman"/>
      <w:b/>
      <w:bCs/>
      <w:i/>
      <w:iCs/>
      <w:sz w:val="28"/>
      <w:szCs w:val="28"/>
      <w:lang w:val="en-US"/>
    </w:rPr>
  </w:style>
  <w:style w:type="paragraph" w:customStyle="1" w:styleId="CCLtdSubHeading">
    <w:name w:val="CC Ltd_Sub Heading"/>
    <w:basedOn w:val="Heading2"/>
    <w:next w:val="CCLtdNormal"/>
    <w:qFormat/>
    <w:rsid w:val="004A31B6"/>
    <w:pPr>
      <w:numPr>
        <w:ilvl w:val="1"/>
        <w:numId w:val="20"/>
      </w:numPr>
      <w:spacing w:before="120" w:after="200"/>
      <w:ind w:left="1091" w:hanging="1063"/>
    </w:pPr>
    <w:rPr>
      <w:rFonts w:ascii="Trebuchet MS" w:hAnsi="Trebuchet MS"/>
      <w:i w:val="0"/>
      <w:color w:val="9934CA"/>
      <w:lang w:val="en-GB"/>
    </w:rPr>
  </w:style>
  <w:style w:type="paragraph" w:customStyle="1" w:styleId="CCLtdNormal">
    <w:name w:val="CC Ltd_Normal"/>
    <w:basedOn w:val="Normal"/>
    <w:qFormat/>
    <w:rsid w:val="00AC1A81"/>
    <w:pPr>
      <w:ind w:left="1077"/>
    </w:pPr>
    <w:rPr>
      <w:rFonts w:ascii="Trebuchet MS" w:hAnsi="Trebuchet MS"/>
    </w:rPr>
  </w:style>
  <w:style w:type="character" w:customStyle="1" w:styleId="Heading3Char">
    <w:name w:val="Heading 3 Char"/>
    <w:link w:val="Heading3"/>
    <w:uiPriority w:val="9"/>
    <w:rsid w:val="005573EE"/>
    <w:rPr>
      <w:rFonts w:ascii="Calibri" w:eastAsia="Times New Roman" w:hAnsi="Calibri" w:cs="Times New Roman"/>
      <w:b/>
      <w:bCs/>
      <w:sz w:val="26"/>
      <w:szCs w:val="26"/>
      <w:lang w:val="en-US"/>
    </w:rPr>
  </w:style>
  <w:style w:type="paragraph" w:customStyle="1" w:styleId="CCLtdSubsubheading">
    <w:name w:val="CC Ltd_Sub sub heading"/>
    <w:basedOn w:val="Heading3"/>
    <w:next w:val="CCLtdNormal"/>
    <w:qFormat/>
    <w:rsid w:val="00BA0ACE"/>
    <w:pPr>
      <w:numPr>
        <w:ilvl w:val="2"/>
        <w:numId w:val="20"/>
      </w:numPr>
      <w:spacing w:before="120" w:after="200"/>
      <w:ind w:left="1091" w:hanging="1091"/>
    </w:pPr>
    <w:rPr>
      <w:rFonts w:ascii="Trebuchet MS" w:hAnsi="Trebuchet MS"/>
      <w:lang w:val="en-GB"/>
    </w:rPr>
  </w:style>
  <w:style w:type="paragraph" w:customStyle="1" w:styleId="CCLtdBullet1">
    <w:name w:val="CC Ltd_Bullet 1"/>
    <w:basedOn w:val="CCLtdNormal"/>
    <w:qFormat/>
    <w:rsid w:val="004F75F5"/>
    <w:pPr>
      <w:numPr>
        <w:numId w:val="2"/>
      </w:numPr>
      <w:spacing w:after="120"/>
      <w:ind w:left="1418" w:hanging="354"/>
    </w:pPr>
    <w:rPr>
      <w:lang w:val="en-GB"/>
    </w:rPr>
  </w:style>
  <w:style w:type="paragraph" w:customStyle="1" w:styleId="CCLtdBullet2">
    <w:name w:val="CC Ltd_Bullet 2"/>
    <w:basedOn w:val="CCLtdBullet1"/>
    <w:qFormat/>
    <w:rsid w:val="00AC1A81"/>
    <w:pPr>
      <w:numPr>
        <w:ilvl w:val="1"/>
      </w:numPr>
      <w:tabs>
        <w:tab w:val="left" w:pos="1701"/>
      </w:tabs>
      <w:ind w:left="1701" w:hanging="283"/>
    </w:pPr>
  </w:style>
  <w:style w:type="paragraph" w:customStyle="1" w:styleId="CCLtdSubsubsubheading">
    <w:name w:val="CC Ltd_Sub sub sub heading"/>
    <w:basedOn w:val="CCLtdNormal"/>
    <w:next w:val="CCLtdNormal"/>
    <w:qFormat/>
    <w:rsid w:val="001E01D7"/>
    <w:rPr>
      <w:b/>
    </w:rPr>
  </w:style>
  <w:style w:type="paragraph" w:customStyle="1" w:styleId="CCLtdTableTitle">
    <w:name w:val="CC Ltd_Table Title"/>
    <w:basedOn w:val="CCLtdNormal"/>
    <w:next w:val="CCLtdNormal"/>
    <w:qFormat/>
    <w:rsid w:val="00D70292"/>
    <w:pPr>
      <w:spacing w:after="0"/>
    </w:pPr>
    <w:rPr>
      <w:sz w:val="28"/>
    </w:rPr>
  </w:style>
  <w:style w:type="table" w:styleId="TableGrid">
    <w:name w:val="Table Grid"/>
    <w:basedOn w:val="TableNormal"/>
    <w:uiPriority w:val="59"/>
    <w:rsid w:val="008D11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CLtdTableHeader">
    <w:name w:val="CC Ltd_Table Header"/>
    <w:basedOn w:val="CCLtdNormal"/>
    <w:qFormat/>
    <w:rsid w:val="001E01D7"/>
    <w:pPr>
      <w:ind w:left="0"/>
    </w:pPr>
    <w:rPr>
      <w:b/>
    </w:rPr>
  </w:style>
  <w:style w:type="paragraph" w:customStyle="1" w:styleId="CCLtdTableNormal">
    <w:name w:val="CC Ltd_Table Normal"/>
    <w:basedOn w:val="CCLtdNormal"/>
    <w:qFormat/>
    <w:rsid w:val="007F5BAC"/>
  </w:style>
  <w:style w:type="paragraph" w:customStyle="1" w:styleId="CCLtdTableBullet1">
    <w:name w:val="CC Ltd_Table Bullet 1"/>
    <w:basedOn w:val="CCLtdBullet1"/>
    <w:qFormat/>
    <w:rsid w:val="001E01D7"/>
    <w:pPr>
      <w:ind w:left="317" w:hanging="283"/>
    </w:pPr>
  </w:style>
  <w:style w:type="paragraph" w:customStyle="1" w:styleId="CCLtdTableBullet2">
    <w:name w:val="CC Ltd_Table Bullet 2"/>
    <w:basedOn w:val="CCLtdBullet1"/>
    <w:qFormat/>
    <w:rsid w:val="001E01D7"/>
    <w:pPr>
      <w:numPr>
        <w:numId w:val="3"/>
      </w:numPr>
      <w:ind w:left="601" w:hanging="284"/>
    </w:pPr>
  </w:style>
  <w:style w:type="paragraph" w:customStyle="1" w:styleId="CCLtdFooterDate">
    <w:name w:val="CC Ltd_Footer Date"/>
    <w:basedOn w:val="Footer"/>
    <w:qFormat/>
    <w:rsid w:val="001E01D7"/>
    <w:pPr>
      <w:ind w:right="360"/>
    </w:pPr>
    <w:rPr>
      <w:rFonts w:ascii="Tahoma" w:hAnsi="Tahoma"/>
      <w:color w:val="404040"/>
      <w:sz w:val="22"/>
    </w:rPr>
  </w:style>
  <w:style w:type="numbering" w:styleId="111111">
    <w:name w:val="Outline List 2"/>
    <w:basedOn w:val="NoList"/>
    <w:rsid w:val="0008137D"/>
    <w:pPr>
      <w:numPr>
        <w:numId w:val="11"/>
      </w:numPr>
    </w:pPr>
  </w:style>
  <w:style w:type="paragraph" w:customStyle="1" w:styleId="Hull2017Bullet">
    <w:name w:val="Hull 2017 Bullet"/>
    <w:basedOn w:val="ListParagraph"/>
    <w:link w:val="Hull2017BulletChar"/>
    <w:qFormat/>
    <w:rsid w:val="00295594"/>
    <w:pPr>
      <w:numPr>
        <w:numId w:val="22"/>
      </w:numPr>
      <w:spacing w:before="200"/>
    </w:pPr>
    <w:rPr>
      <w:rFonts w:ascii="Trebuchet MS" w:eastAsiaTheme="minorEastAsia" w:hAnsi="Trebuchet MS"/>
      <w:sz w:val="22"/>
      <w:lang w:val="en-GB" w:eastAsia="en-GB"/>
    </w:rPr>
  </w:style>
  <w:style w:type="paragraph" w:customStyle="1" w:styleId="Hull2017Bullet2">
    <w:name w:val="Hull 2017 Bullet 2"/>
    <w:basedOn w:val="Hull2017Bullet"/>
    <w:qFormat/>
    <w:rsid w:val="00295594"/>
    <w:pPr>
      <w:numPr>
        <w:ilvl w:val="1"/>
      </w:numPr>
      <w:tabs>
        <w:tab w:val="num" w:pos="360"/>
      </w:tabs>
      <w:ind w:left="851" w:hanging="425"/>
    </w:pPr>
  </w:style>
  <w:style w:type="character" w:customStyle="1" w:styleId="Hull2017BulletChar">
    <w:name w:val="Hull 2017 Bullet Char"/>
    <w:basedOn w:val="DefaultParagraphFont"/>
    <w:link w:val="Hull2017Bullet"/>
    <w:rsid w:val="00295594"/>
    <w:rPr>
      <w:rFonts w:ascii="Trebuchet MS" w:eastAsiaTheme="minorEastAsia" w:hAnsi="Trebuchet MS"/>
      <w:sz w:val="22"/>
      <w:lang w:eastAsia="en-GB"/>
    </w:rPr>
  </w:style>
  <w:style w:type="paragraph" w:customStyle="1" w:styleId="SectionHeader">
    <w:name w:val="Section Header"/>
    <w:basedOn w:val="Normal"/>
    <w:rsid w:val="00295594"/>
    <w:pPr>
      <w:numPr>
        <w:numId w:val="23"/>
      </w:numPr>
      <w:spacing w:line="259" w:lineRule="auto"/>
      <w:ind w:left="794" w:hanging="794"/>
      <w:contextualSpacing/>
    </w:pPr>
    <w:rPr>
      <w:rFonts w:ascii="Trebuchet MS" w:eastAsia="Calibri" w:hAnsi="Trebuchet MS"/>
      <w:b/>
      <w:caps/>
      <w:color w:val="FF0000"/>
      <w:sz w:val="28"/>
      <w:szCs w:val="28"/>
      <w:lang w:val="en-GB"/>
    </w:rPr>
  </w:style>
  <w:style w:type="paragraph" w:customStyle="1" w:styleId="Bodycopy">
    <w:name w:val="Body copy"/>
    <w:basedOn w:val="Normal"/>
    <w:link w:val="BodycopyChar"/>
    <w:qFormat/>
    <w:rsid w:val="00295594"/>
    <w:pPr>
      <w:spacing w:before="120"/>
      <w:ind w:left="907"/>
      <w:contextualSpacing/>
    </w:pPr>
    <w:rPr>
      <w:rFonts w:ascii="Trebuchet MS" w:eastAsia="Calibri" w:hAnsi="Trebuchet MS"/>
      <w:sz w:val="22"/>
      <w:szCs w:val="22"/>
      <w:lang w:val="en-GB"/>
    </w:rPr>
  </w:style>
  <w:style w:type="character" w:customStyle="1" w:styleId="BodycopyChar">
    <w:name w:val="Body copy Char"/>
    <w:basedOn w:val="DefaultParagraphFont"/>
    <w:link w:val="Bodycopy"/>
    <w:rsid w:val="00295594"/>
    <w:rPr>
      <w:rFonts w:ascii="Trebuchet MS" w:eastAsia="Calibri" w:hAnsi="Trebuchet MS"/>
      <w:sz w:val="22"/>
      <w:szCs w:val="22"/>
    </w:rPr>
  </w:style>
  <w:style w:type="paragraph" w:customStyle="1" w:styleId="TableBullet">
    <w:name w:val="Table Bullet"/>
    <w:basedOn w:val="Normal"/>
    <w:uiPriority w:val="13"/>
    <w:qFormat/>
    <w:rsid w:val="00295594"/>
    <w:pPr>
      <w:numPr>
        <w:numId w:val="25"/>
      </w:numPr>
      <w:spacing w:after="0"/>
      <w:ind w:right="85"/>
    </w:pPr>
    <w:rPr>
      <w:rFonts w:ascii="Yu Gothic UI" w:eastAsia="Times New Roman" w:hAnsi="Yu Gothic UI"/>
      <w:sz w:val="20"/>
      <w:szCs w:val="20"/>
      <w:lang w:val="en-GB"/>
    </w:rPr>
  </w:style>
  <w:style w:type="numbering" w:customStyle="1" w:styleId="NumbLstTable">
    <w:name w:val="NumbLstTable"/>
    <w:uiPriority w:val="99"/>
    <w:rsid w:val="00295594"/>
    <w:pPr>
      <w:numPr>
        <w:numId w:val="24"/>
      </w:numPr>
    </w:pPr>
  </w:style>
  <w:style w:type="paragraph" w:styleId="ListParagraph">
    <w:name w:val="List Paragraph"/>
    <w:basedOn w:val="Normal"/>
    <w:rsid w:val="002955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C20CBD28-3366-4F03-BAF7-A9B40C529AAC}"/>
</file>

<file path=customXml/itemProps2.xml><?xml version="1.0" encoding="utf-8"?>
<ds:datastoreItem xmlns:ds="http://schemas.openxmlformats.org/officeDocument/2006/customXml" ds:itemID="{D89F7629-2B41-47AA-994A-871A136D54FB}"/>
</file>

<file path=customXml/itemProps3.xml><?xml version="1.0" encoding="utf-8"?>
<ds:datastoreItem xmlns:ds="http://schemas.openxmlformats.org/officeDocument/2006/customXml" ds:itemID="{47BACF49-1B8D-42C9-B484-F7A1734DAC7D}"/>
</file>

<file path=docProps/app.xml><?xml version="1.0" encoding="utf-8"?>
<Properties xmlns="http://schemas.openxmlformats.org/officeDocument/2006/extended-properties" xmlns:vt="http://schemas.openxmlformats.org/officeDocument/2006/docPropsVTypes">
  <Template>Normal</Template>
  <TotalTime>153</TotalTime>
  <Pages>13</Pages>
  <Words>3535</Words>
  <Characters>20152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cp:lastModifiedBy>Unwin Elinor (2017)</cp:lastModifiedBy>
  <cp:revision>27</cp:revision>
  <dcterms:created xsi:type="dcterms:W3CDTF">2018-03-14T16:56:00Z</dcterms:created>
  <dcterms:modified xsi:type="dcterms:W3CDTF">2018-03-19T11:52:00Z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