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PRESS NIGHT 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12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16th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19: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194 wristbands, 198 tickets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19.24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21.03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09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Lively and energetic performance.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clean show.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Laughy and lively audience.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the second council chamber.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at the end of Mr Bennett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speech at the end of the ballroom scene.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Ms Kaur ripped her dress at beginners, this was quickly mended and did not hold up the start of the show.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Mr Nik has asked that the ballroom carpet be hoovered again, the bottom of his trousers are getting dirty. This will be done before the shows tomorrow.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Mr James was gritted during the pram tableau, it was very cold...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Goodyear, 07967303987</w:t>
      </w:r>
      <w:bookmarkEnd w:id="1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527F61-213B-4762-8329-5BD4E35CCEE3}"/>
</file>

<file path=customXml/itemProps2.xml><?xml version="1.0" encoding="utf-8"?>
<ds:datastoreItem xmlns:ds="http://schemas.openxmlformats.org/officeDocument/2006/customXml" ds:itemID="{AC2D2AB3-37B8-4C2A-B1DA-C61C0B216B1A}"/>
</file>

<file path=customXml/itemProps3.xml><?xml version="1.0" encoding="utf-8"?>
<ds:datastoreItem xmlns:ds="http://schemas.openxmlformats.org/officeDocument/2006/customXml" ds:itemID="{4E617220-2722-4475-863A-DE12AA91AC0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