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9" w:rsidRDefault="00376A8F"/>
    <w:p w:rsidR="007254D5" w:rsidRPr="0005092D" w:rsidRDefault="00807048">
      <w:pPr>
        <w:rPr>
          <w:b/>
        </w:rPr>
      </w:pPr>
      <w:r>
        <w:rPr>
          <w:b/>
        </w:rPr>
        <w:t xml:space="preserve">CABINET GALLERY </w:t>
      </w:r>
      <w:r w:rsidR="003B2261" w:rsidRPr="0005092D">
        <w:rPr>
          <w:b/>
        </w:rPr>
        <w:t>DEAL MEMO INFO</w:t>
      </w:r>
    </w:p>
    <w:tbl>
      <w:tblPr>
        <w:tblStyle w:val="TableGrid"/>
        <w:tblW w:w="0" w:type="auto"/>
        <w:tblLook w:val="04A0" w:firstRow="1" w:lastRow="0" w:firstColumn="1" w:lastColumn="0" w:noHBand="0" w:noVBand="1"/>
      </w:tblPr>
      <w:tblGrid>
        <w:gridCol w:w="2235"/>
        <w:gridCol w:w="7007"/>
      </w:tblGrid>
      <w:tr w:rsidR="003B2261" w:rsidTr="003B2261">
        <w:tc>
          <w:tcPr>
            <w:tcW w:w="2235" w:type="dxa"/>
          </w:tcPr>
          <w:p w:rsidR="003B2261" w:rsidRDefault="003B2261">
            <w:r>
              <w:t>ARTIST</w:t>
            </w:r>
          </w:p>
        </w:tc>
        <w:tc>
          <w:tcPr>
            <w:tcW w:w="7007" w:type="dxa"/>
          </w:tcPr>
          <w:p w:rsidR="000204D5" w:rsidRDefault="000204D5">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w:t>
            </w:r>
          </w:p>
          <w:p w:rsidR="003B2261" w:rsidRDefault="000204D5">
            <w:r>
              <w:t xml:space="preserve">Represented by Andrew Wheatley at </w:t>
            </w:r>
            <w:r w:rsidR="00F656CB">
              <w:t>Cabinet</w:t>
            </w:r>
            <w:r w:rsidR="003E7A6C">
              <w:t xml:space="preserve"> </w:t>
            </w:r>
            <w:r w:rsidR="00F656CB">
              <w:t xml:space="preserve">Gallery </w:t>
            </w:r>
          </w:p>
          <w:p w:rsidR="000204D5" w:rsidRDefault="000204D5"/>
          <w:p w:rsidR="00387AE0" w:rsidRDefault="00387AE0"/>
        </w:tc>
      </w:tr>
      <w:tr w:rsidR="003B2261" w:rsidTr="003B2261">
        <w:tc>
          <w:tcPr>
            <w:tcW w:w="2235" w:type="dxa"/>
          </w:tcPr>
          <w:p w:rsidR="003B2261" w:rsidRDefault="003B2261">
            <w:r>
              <w:t>CONTACT NAMES</w:t>
            </w:r>
          </w:p>
        </w:tc>
        <w:tc>
          <w:tcPr>
            <w:tcW w:w="7007" w:type="dxa"/>
          </w:tcPr>
          <w:p w:rsidR="00F656CB" w:rsidRDefault="003E7A6C" w:rsidP="003E7A6C">
            <w:r>
              <w:t>Andrew Whea</w:t>
            </w:r>
            <w:r w:rsidR="00F656CB">
              <w:t xml:space="preserve">tley – Director, </w:t>
            </w:r>
          </w:p>
          <w:p w:rsidR="00F656CB" w:rsidRDefault="00F656CB" w:rsidP="003E7A6C">
            <w:r>
              <w:t>Cabinet Gallery</w:t>
            </w:r>
            <w:r w:rsidR="000204D5">
              <w:t>,</w:t>
            </w:r>
          </w:p>
          <w:p w:rsidR="000204D5" w:rsidRDefault="000204D5" w:rsidP="003E7A6C">
            <w:r>
              <w:t xml:space="preserve"> 49 – 59 Old St,  London, EC1</w:t>
            </w:r>
            <w:r w:rsidR="00F656CB">
              <w:t xml:space="preserve">V 9HX </w:t>
            </w:r>
          </w:p>
          <w:p w:rsidR="00F656CB" w:rsidRDefault="00376A8F" w:rsidP="00F656CB">
            <w:hyperlink r:id="rId7" w:history="1">
              <w:r w:rsidR="00F656CB">
                <w:rPr>
                  <w:rStyle w:val="Hyperlink"/>
                </w:rPr>
                <w:t>art@cabinetltd.demon.co.uk</w:t>
              </w:r>
            </w:hyperlink>
          </w:p>
          <w:p w:rsidR="00387AE0" w:rsidRDefault="003E7A6C" w:rsidP="003E7A6C">
            <w:r>
              <w:t xml:space="preserve"> </w:t>
            </w:r>
            <w:r w:rsidR="00F656CB">
              <w:t xml:space="preserve">07711066935 </w:t>
            </w:r>
          </w:p>
          <w:p w:rsidR="00F656CB" w:rsidRDefault="00F656CB" w:rsidP="003E7A6C"/>
        </w:tc>
      </w:tr>
      <w:tr w:rsidR="003B2261" w:rsidTr="003B2261">
        <w:tc>
          <w:tcPr>
            <w:tcW w:w="2235" w:type="dxa"/>
          </w:tcPr>
          <w:p w:rsidR="003B2261" w:rsidRDefault="003B2261">
            <w:r>
              <w:t>PROJECT TITLE</w:t>
            </w:r>
          </w:p>
        </w:tc>
        <w:tc>
          <w:tcPr>
            <w:tcW w:w="7007" w:type="dxa"/>
          </w:tcPr>
          <w:p w:rsidR="00387AE0" w:rsidRDefault="00F656CB" w:rsidP="00F656CB">
            <w:r>
              <w:t xml:space="preserve">Working title – COUM Transmissions </w:t>
            </w:r>
          </w:p>
        </w:tc>
      </w:tr>
      <w:tr w:rsidR="00387AE0" w:rsidTr="003B2261">
        <w:tc>
          <w:tcPr>
            <w:tcW w:w="2235" w:type="dxa"/>
          </w:tcPr>
          <w:p w:rsidR="00387AE0" w:rsidRDefault="00387AE0">
            <w:r>
              <w:t>PROJECT MODEL</w:t>
            </w:r>
          </w:p>
        </w:tc>
        <w:tc>
          <w:tcPr>
            <w:tcW w:w="7007" w:type="dxa"/>
          </w:tcPr>
          <w:p w:rsidR="00387AE0" w:rsidRDefault="003E7A6C" w:rsidP="000B765D">
            <w:r>
              <w:t xml:space="preserve">Exhibition curated by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Cabinet Gallery </w:t>
            </w:r>
            <w:r w:rsidR="00F656CB">
              <w:t>co -</w:t>
            </w:r>
            <w:r>
              <w:t xml:space="preserve">produced by Hull 2017 </w:t>
            </w:r>
          </w:p>
          <w:p w:rsidR="00387AE0" w:rsidRDefault="00387AE0" w:rsidP="000B765D"/>
        </w:tc>
      </w:tr>
      <w:tr w:rsidR="003B2261" w:rsidTr="003B2261">
        <w:tc>
          <w:tcPr>
            <w:tcW w:w="2235" w:type="dxa"/>
          </w:tcPr>
          <w:p w:rsidR="003B2261" w:rsidRDefault="003B2261" w:rsidP="005E4FE5">
            <w:r>
              <w:t>CREATIVE SYNOPSIS</w:t>
            </w:r>
          </w:p>
          <w:p w:rsidR="000B765D" w:rsidRDefault="000B765D" w:rsidP="005E4FE5"/>
          <w:p w:rsidR="000B765D" w:rsidRDefault="000B765D" w:rsidP="005E4FE5"/>
        </w:tc>
        <w:tc>
          <w:tcPr>
            <w:tcW w:w="7007" w:type="dxa"/>
          </w:tcPr>
          <w:p w:rsidR="00376A8F" w:rsidRDefault="00376A8F" w:rsidP="003E7A6C"/>
          <w:p w:rsidR="003E7A6C" w:rsidRDefault="003E7A6C" w:rsidP="003E7A6C">
            <w:r>
              <w:t>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w:t>
            </w:r>
            <w:r w:rsidR="00376A8F">
              <w:t>on of COUM Transmissions</w:t>
            </w:r>
            <w:r>
              <w:t>, the genre defying art collective that helped</w:t>
            </w:r>
            <w:bookmarkStart w:id="0" w:name="_GoBack"/>
            <w:bookmarkEnd w:id="0"/>
            <w:r w:rsidR="00376A8F">
              <w:t xml:space="preserve"> shape 1970</w:t>
            </w:r>
            <w:r>
              <w:t>’s counter-culture and especially to two lead creative forces in both these groups, Genesis P-</w:t>
            </w:r>
            <w:proofErr w:type="spellStart"/>
            <w:r>
              <w:t>Orridge</w:t>
            </w:r>
            <w:proofErr w:type="spellEnd"/>
            <w:r>
              <w:t xml:space="preserve"> and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their relationship to Hull. </w:t>
            </w:r>
          </w:p>
          <w:p w:rsidR="003E7A6C" w:rsidRDefault="003E7A6C" w:rsidP="003E7A6C"/>
          <w:p w:rsidR="003E7A6C" w:rsidRDefault="003E7A6C" w:rsidP="003E7A6C">
            <w:r>
              <w:t>This will be the opening exhibition for 64 Humber Street, the new contemporary visual arts space for the city. The venue will be owne</w:t>
            </w:r>
            <w:r w:rsidR="00376A8F">
              <w:t>d, ran and curated by Hull 2017. I</w:t>
            </w:r>
            <w:r>
              <w:t>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rsidR="003E7A6C" w:rsidRDefault="003E7A6C" w:rsidP="003E7A6C"/>
          <w:p w:rsidR="000B765D" w:rsidRDefault="003E7A6C" w:rsidP="003E7A6C">
            <w:r>
              <w:t xml:space="preserve">The exhibition is the celebration and exploration of the living legacy of COUM </w:t>
            </w:r>
            <w:r w:rsidR="00376A8F">
              <w:t xml:space="preserve">Transmissions </w:t>
            </w:r>
            <w:r>
              <w:t xml:space="preserve">and in particular the artist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Genesis P-</w:t>
            </w:r>
            <w:proofErr w:type="spellStart"/>
            <w:r>
              <w:t>Orridge</w:t>
            </w:r>
            <w:proofErr w:type="spellEnd"/>
            <w:r>
              <w:t>.  Although the main body of the exhibition will be made from artefacts it will not be a museum show, the continuing legacy of COUM will be represented through an associated live programme featuring artists who best embody the spirit of COUM, there will be talks, in conversation style events and</w:t>
            </w:r>
            <w:r w:rsidR="00376A8F">
              <w:t xml:space="preserve"> the publication of an accompanying </w:t>
            </w:r>
            <w:r>
              <w:t xml:space="preserve">catalogue featuring series of new </w:t>
            </w:r>
            <w:r w:rsidR="00376A8F">
              <w:t xml:space="preserve">writing </w:t>
            </w:r>
            <w:r>
              <w:t>commissions exploring t</w:t>
            </w:r>
            <w:r w:rsidR="00376A8F">
              <w:t xml:space="preserve">he contemporary legacy of COUM Transmissions. </w:t>
            </w:r>
            <w:r w:rsidR="000B765D">
              <w:t xml:space="preserve"> </w:t>
            </w:r>
          </w:p>
          <w:p w:rsidR="000B765D" w:rsidRDefault="000B765D" w:rsidP="005E4FE5"/>
        </w:tc>
      </w:tr>
      <w:tr w:rsidR="003B2261" w:rsidTr="003B2261">
        <w:tc>
          <w:tcPr>
            <w:tcW w:w="2235" w:type="dxa"/>
          </w:tcPr>
          <w:p w:rsidR="003B2261" w:rsidRDefault="003B2261" w:rsidP="00EC7167">
            <w:r>
              <w:t xml:space="preserve">PROJECT </w:t>
            </w:r>
            <w:r w:rsidR="00EC7167">
              <w:t>ELEMENTS</w:t>
            </w:r>
            <w:r w:rsidR="00DD2451">
              <w:t xml:space="preserve"> </w:t>
            </w:r>
          </w:p>
        </w:tc>
        <w:tc>
          <w:tcPr>
            <w:tcW w:w="7007" w:type="dxa"/>
          </w:tcPr>
          <w:p w:rsidR="00417244" w:rsidRDefault="00417244" w:rsidP="00417244">
            <w:pPr>
              <w:pStyle w:val="ListParagraph"/>
            </w:pPr>
          </w:p>
          <w:p w:rsidR="00417244" w:rsidRDefault="003E7A6C" w:rsidP="003F6E4E">
            <w:pPr>
              <w:pStyle w:val="ListParagraph"/>
              <w:numPr>
                <w:ilvl w:val="0"/>
                <w:numId w:val="25"/>
              </w:numPr>
            </w:pPr>
            <w:r>
              <w:t xml:space="preserve">Newly curated exhibition exploring </w:t>
            </w:r>
            <w:r w:rsidR="003F6E4E">
              <w:t>the period of time COUM Transmissions were active</w:t>
            </w:r>
            <w:r>
              <w:t xml:space="preserve"> in Hull</w:t>
            </w:r>
            <w:r w:rsidR="003F6E4E">
              <w:t xml:space="preserve"> up to the ICA ‘Prostitution’ Show (1976)  </w:t>
            </w:r>
            <w:r>
              <w:t xml:space="preserve"> </w:t>
            </w:r>
          </w:p>
          <w:p w:rsidR="00417244" w:rsidRDefault="00417244" w:rsidP="00417244">
            <w:pPr>
              <w:pStyle w:val="ListParagraph"/>
              <w:numPr>
                <w:ilvl w:val="0"/>
                <w:numId w:val="25"/>
              </w:numPr>
            </w:pPr>
            <w:r>
              <w:lastRenderedPageBreak/>
              <w:t xml:space="preserve">Programme of talks and lectures contextualising COUM Transmissions  </w:t>
            </w:r>
            <w:r w:rsidR="003E7A6C">
              <w:t xml:space="preserve"> </w:t>
            </w:r>
          </w:p>
          <w:p w:rsidR="00417244" w:rsidRDefault="003E7A6C" w:rsidP="00417244">
            <w:pPr>
              <w:pStyle w:val="ListParagraph"/>
              <w:numPr>
                <w:ilvl w:val="0"/>
                <w:numId w:val="25"/>
              </w:numPr>
            </w:pPr>
            <w:r>
              <w:t xml:space="preserve">Development of live programme exploring contemporary </w:t>
            </w:r>
            <w:r w:rsidR="00417244">
              <w:t>legacy of COUM Transmissions</w:t>
            </w:r>
          </w:p>
          <w:p w:rsidR="003E7A6C" w:rsidRDefault="00417244" w:rsidP="00417244">
            <w:pPr>
              <w:pStyle w:val="ListParagraph"/>
              <w:numPr>
                <w:ilvl w:val="0"/>
                <w:numId w:val="25"/>
              </w:numPr>
            </w:pPr>
            <w:r>
              <w:t xml:space="preserve">A publications accompanying the exhibition will be produced featuring a number of new writing commissions </w:t>
            </w:r>
          </w:p>
          <w:p w:rsidR="00417244" w:rsidRDefault="00417244" w:rsidP="00417244">
            <w:pPr>
              <w:pStyle w:val="ListParagraph"/>
            </w:pPr>
          </w:p>
        </w:tc>
      </w:tr>
      <w:tr w:rsidR="003B2261" w:rsidTr="003B2261">
        <w:tc>
          <w:tcPr>
            <w:tcW w:w="2235" w:type="dxa"/>
          </w:tcPr>
          <w:p w:rsidR="00FE49D6" w:rsidRDefault="00FE49D6" w:rsidP="00FE49D6">
            <w:r>
              <w:lastRenderedPageBreak/>
              <w:t xml:space="preserve">PARTICIPATION / OUTREACH </w:t>
            </w:r>
          </w:p>
          <w:p w:rsidR="00DD2451" w:rsidRDefault="00DD2451" w:rsidP="00FE49D6"/>
        </w:tc>
        <w:tc>
          <w:tcPr>
            <w:tcW w:w="7007" w:type="dxa"/>
          </w:tcPr>
          <w:p w:rsidR="00387AE0" w:rsidRDefault="00EC7167" w:rsidP="00387AE0">
            <w:pPr>
              <w:pStyle w:val="ListParagraph"/>
              <w:numPr>
                <w:ilvl w:val="0"/>
                <w:numId w:val="4"/>
              </w:numPr>
            </w:pPr>
            <w:r>
              <w:t xml:space="preserve"> </w:t>
            </w:r>
            <w:r w:rsidR="003F6E4E">
              <w:t xml:space="preserve">Due to the content of the exhibition there will be limited opportunities for participation and outreach. </w:t>
            </w:r>
          </w:p>
        </w:tc>
      </w:tr>
    </w:tbl>
    <w:p w:rsidR="00EC7167" w:rsidRDefault="00EC7167"/>
    <w:tbl>
      <w:tblPr>
        <w:tblStyle w:val="TableGrid"/>
        <w:tblW w:w="0" w:type="auto"/>
        <w:tblLook w:val="04A0" w:firstRow="1" w:lastRow="0" w:firstColumn="1" w:lastColumn="0" w:noHBand="0" w:noVBand="1"/>
      </w:tblPr>
      <w:tblGrid>
        <w:gridCol w:w="2235"/>
        <w:gridCol w:w="7007"/>
      </w:tblGrid>
      <w:tr w:rsidR="003B2261" w:rsidTr="003B2261">
        <w:tc>
          <w:tcPr>
            <w:tcW w:w="2235" w:type="dxa"/>
          </w:tcPr>
          <w:p w:rsidR="003B2261" w:rsidRDefault="00E66FE1" w:rsidP="00E66FE1">
            <w:r>
              <w:t>PROJECT BUDGET</w:t>
            </w:r>
          </w:p>
        </w:tc>
        <w:tc>
          <w:tcPr>
            <w:tcW w:w="7007" w:type="dxa"/>
          </w:tcPr>
          <w:p w:rsidR="0007219A" w:rsidRDefault="003F6E4E" w:rsidP="003F6E4E">
            <w:r>
              <w:t xml:space="preserve">The full project budget will be held by Hull 2017 with individual partners contracted </w:t>
            </w:r>
            <w:r w:rsidR="0007219A">
              <w:t xml:space="preserve">for discrete bodies of work (Cabinet Gallery for curation and production of exhibition and The Quietus for curation of live programme) </w:t>
            </w:r>
          </w:p>
          <w:p w:rsidR="0007219A" w:rsidRDefault="0007219A" w:rsidP="003F6E4E"/>
          <w:p w:rsidR="003F6E4E" w:rsidRDefault="00DF56CD" w:rsidP="003F6E4E">
            <w:r>
              <w:t>The budget for the curation and production of artworks, artefacts and ephemera that will ma</w:t>
            </w:r>
            <w:r w:rsidR="00750B92">
              <w:t xml:space="preserve">ke up the exhibition and </w:t>
            </w:r>
            <w:r w:rsidR="00366F14">
              <w:t>shipping/</w:t>
            </w:r>
            <w:r w:rsidR="00750B92">
              <w:t xml:space="preserve">delivery and installation of exhibition will be </w:t>
            </w:r>
            <w:r w:rsidR="00750B92" w:rsidRPr="00750B92">
              <w:rPr>
                <w:b/>
              </w:rPr>
              <w:t>£24,200</w:t>
            </w:r>
            <w:r w:rsidR="00366F14">
              <w:t xml:space="preserve"> (</w:t>
            </w:r>
            <w:proofErr w:type="spellStart"/>
            <w:r w:rsidR="00366F14">
              <w:t>e</w:t>
            </w:r>
            <w:r w:rsidR="00750B92">
              <w:t>x Vat</w:t>
            </w:r>
            <w:proofErr w:type="spellEnd"/>
            <w:r w:rsidR="00750B92">
              <w:t xml:space="preserve">)  </w:t>
            </w:r>
          </w:p>
          <w:p w:rsidR="00DF56CD" w:rsidRDefault="00DF56CD" w:rsidP="003F6E4E"/>
          <w:p w:rsidR="00DF56CD" w:rsidRDefault="00DF56CD" w:rsidP="00DF56CD">
            <w:pPr>
              <w:pStyle w:val="ListParagraph"/>
              <w:numPr>
                <w:ilvl w:val="0"/>
                <w:numId w:val="4"/>
              </w:numPr>
            </w:pPr>
            <w:r>
              <w:t xml:space="preserve">Cabinet Gallery Project Management and curation fee : </w:t>
            </w:r>
            <w:r w:rsidR="00750B92">
              <w:t xml:space="preserve">    </w:t>
            </w:r>
            <w:r>
              <w:t>£6000</w:t>
            </w:r>
          </w:p>
          <w:p w:rsidR="00DF56CD" w:rsidRDefault="00DF56CD" w:rsidP="00DF56CD">
            <w:pPr>
              <w:pStyle w:val="ListParagraph"/>
              <w:numPr>
                <w:ilvl w:val="0"/>
                <w:numId w:val="4"/>
              </w:numPr>
            </w:pPr>
            <w:r>
              <w:t xml:space="preserve">Cataloguing of archive </w:t>
            </w:r>
            <w:r w:rsidR="00750B92">
              <w:t xml:space="preserve">                                                               £3000 </w:t>
            </w:r>
          </w:p>
          <w:p w:rsidR="00750B92" w:rsidRDefault="00750B92" w:rsidP="00750B92">
            <w:pPr>
              <w:pStyle w:val="ListParagraph"/>
              <w:numPr>
                <w:ilvl w:val="0"/>
                <w:numId w:val="4"/>
              </w:numPr>
            </w:pPr>
            <w:r>
              <w:t xml:space="preserve">Photographing 3D archival items                                             £1800  </w:t>
            </w:r>
          </w:p>
          <w:p w:rsidR="00C926E7" w:rsidRDefault="00750B92" w:rsidP="00C926E7">
            <w:pPr>
              <w:pStyle w:val="ListParagraph"/>
              <w:numPr>
                <w:ilvl w:val="0"/>
                <w:numId w:val="4"/>
              </w:numPr>
            </w:pP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curatorial fee                                                £8000 </w:t>
            </w:r>
          </w:p>
          <w:p w:rsidR="00750B92" w:rsidRDefault="00750B92" w:rsidP="00750B92">
            <w:pPr>
              <w:pStyle w:val="ListParagraph"/>
              <w:numPr>
                <w:ilvl w:val="0"/>
                <w:numId w:val="4"/>
              </w:numPr>
            </w:pPr>
            <w:r>
              <w:t xml:space="preserve">Shipping                                                                                        £1400    </w:t>
            </w:r>
          </w:p>
          <w:p w:rsidR="00750B92" w:rsidRDefault="00750B92" w:rsidP="00750B92">
            <w:pPr>
              <w:pStyle w:val="ListParagraph"/>
              <w:numPr>
                <w:ilvl w:val="0"/>
                <w:numId w:val="4"/>
              </w:numPr>
            </w:pPr>
            <w:r>
              <w:t xml:space="preserve">Framing and display                                                                    £4000  </w:t>
            </w:r>
          </w:p>
          <w:p w:rsidR="00750B92" w:rsidRDefault="00750B92" w:rsidP="00750B92">
            <w:pPr>
              <w:pStyle w:val="ListParagraph"/>
            </w:pPr>
            <w:r>
              <w:t xml:space="preserve">       </w:t>
            </w:r>
          </w:p>
          <w:p w:rsidR="00750B92" w:rsidRDefault="00750B92" w:rsidP="00750B92">
            <w:pPr>
              <w:pStyle w:val="ListParagraph"/>
              <w:rPr>
                <w:b/>
              </w:rPr>
            </w:pPr>
          </w:p>
          <w:p w:rsidR="00750B92" w:rsidRDefault="00750B92" w:rsidP="00750B92">
            <w:r>
              <w:t>All travel, accommodation and subsistence in order to service the above activity will be agreed in advance and paid by Hull 2017.</w:t>
            </w:r>
          </w:p>
          <w:p w:rsidR="00750B92" w:rsidRDefault="00750B92" w:rsidP="00750B92"/>
          <w:p w:rsidR="00750B92" w:rsidRDefault="00366F14" w:rsidP="00750B92">
            <w:r>
              <w:t>Cabinet Gallery will also be contracted</w:t>
            </w:r>
            <w:r w:rsidR="00C926E7">
              <w:t xml:space="preserve"> for the creation</w:t>
            </w:r>
            <w:r>
              <w:t xml:space="preserve"> of all content for</w:t>
            </w:r>
            <w:r w:rsidR="00C926E7">
              <w:t xml:space="preserve"> the exhibition publication and any live activity in terms of talks and (or) lectures</w:t>
            </w:r>
            <w:r>
              <w:t xml:space="preserve"> but excluding performance in terms of music or live art all commissions to be made in consultation with Hull 2017 with a total fee of </w:t>
            </w:r>
            <w:r>
              <w:rPr>
                <w:b/>
              </w:rPr>
              <w:t>£17,500 (</w:t>
            </w:r>
            <w:proofErr w:type="spellStart"/>
            <w:r>
              <w:rPr>
                <w:b/>
              </w:rPr>
              <w:t>e</w:t>
            </w:r>
            <w:r w:rsidRPr="00366F14">
              <w:rPr>
                <w:b/>
              </w:rPr>
              <w:t>x Vat</w:t>
            </w:r>
            <w:proofErr w:type="spellEnd"/>
            <w:r w:rsidRPr="00366F14">
              <w:rPr>
                <w:b/>
              </w:rPr>
              <w:t>)</w:t>
            </w:r>
            <w:r>
              <w:t xml:space="preserve">  </w:t>
            </w:r>
          </w:p>
          <w:p w:rsidR="00C926E7" w:rsidRDefault="00C926E7" w:rsidP="00750B92"/>
          <w:p w:rsidR="00C926E7" w:rsidRDefault="00C926E7" w:rsidP="00C926E7">
            <w:pPr>
              <w:pStyle w:val="ListParagraph"/>
              <w:numPr>
                <w:ilvl w:val="0"/>
                <w:numId w:val="26"/>
              </w:numPr>
            </w:pPr>
            <w:r>
              <w:t xml:space="preserve">Exhibition contributors                         </w:t>
            </w:r>
            <w:r w:rsidR="00366F14">
              <w:t xml:space="preserve">                               </w:t>
            </w:r>
            <w:r>
              <w:t xml:space="preserve"> </w:t>
            </w:r>
            <w:r w:rsidR="00366F14">
              <w:t xml:space="preserve"> </w:t>
            </w:r>
            <w:r>
              <w:t>£2000</w:t>
            </w:r>
          </w:p>
          <w:p w:rsidR="00C926E7" w:rsidRDefault="00C926E7" w:rsidP="00C926E7">
            <w:pPr>
              <w:pStyle w:val="ListParagraph"/>
              <w:numPr>
                <w:ilvl w:val="0"/>
                <w:numId w:val="26"/>
              </w:numPr>
            </w:pPr>
            <w:r>
              <w:t xml:space="preserve">Documentation of exhibition                </w:t>
            </w:r>
            <w:r w:rsidR="00366F14">
              <w:t xml:space="preserve">                                </w:t>
            </w:r>
            <w:r>
              <w:t>£2000</w:t>
            </w:r>
          </w:p>
          <w:p w:rsidR="00C926E7" w:rsidRDefault="00C926E7" w:rsidP="00C926E7">
            <w:pPr>
              <w:pStyle w:val="ListParagraph"/>
              <w:numPr>
                <w:ilvl w:val="0"/>
                <w:numId w:val="26"/>
              </w:numPr>
            </w:pPr>
            <w:r>
              <w:t xml:space="preserve">Live interviews / Lectures                      </w:t>
            </w:r>
            <w:r w:rsidR="00366F14">
              <w:t xml:space="preserve">                                </w:t>
            </w:r>
            <w:r>
              <w:t>£1000</w:t>
            </w:r>
          </w:p>
          <w:p w:rsidR="00366F14" w:rsidRDefault="00C926E7" w:rsidP="00C926E7">
            <w:pPr>
              <w:pStyle w:val="ListParagraph"/>
              <w:numPr>
                <w:ilvl w:val="0"/>
                <w:numId w:val="26"/>
              </w:numPr>
            </w:pPr>
            <w:r>
              <w:t>New writing commissions for publication</w:t>
            </w:r>
            <w:r w:rsidR="00366F14">
              <w:t xml:space="preserve"> to accompany</w:t>
            </w:r>
          </w:p>
          <w:p w:rsidR="00366F14" w:rsidRDefault="00366F14" w:rsidP="00366F14">
            <w:pPr>
              <w:pStyle w:val="ListParagraph"/>
            </w:pPr>
            <w:r>
              <w:t>Exhibition (commissioned by Cabinet)                                £4000</w:t>
            </w:r>
          </w:p>
          <w:p w:rsidR="00C926E7" w:rsidRDefault="00366F14" w:rsidP="00366F14">
            <w:pPr>
              <w:pStyle w:val="ListParagraph"/>
              <w:numPr>
                <w:ilvl w:val="0"/>
                <w:numId w:val="26"/>
              </w:numPr>
            </w:pPr>
            <w:r>
              <w:t>Photography (commissioned by Cabinet)                           £1000</w:t>
            </w:r>
          </w:p>
          <w:p w:rsidR="00366F14" w:rsidRDefault="00366F14" w:rsidP="00366F14">
            <w:pPr>
              <w:pStyle w:val="ListParagraph"/>
              <w:numPr>
                <w:ilvl w:val="0"/>
                <w:numId w:val="26"/>
              </w:numPr>
            </w:pPr>
            <w:r>
              <w:t xml:space="preserve">Editing of publication (commissioned by Cabinet)            £3000 </w:t>
            </w:r>
          </w:p>
          <w:p w:rsidR="00366F14" w:rsidRDefault="00366F14" w:rsidP="00366F14">
            <w:pPr>
              <w:pStyle w:val="ListParagraph"/>
              <w:numPr>
                <w:ilvl w:val="0"/>
                <w:numId w:val="26"/>
              </w:numPr>
            </w:pPr>
            <w:r>
              <w:t xml:space="preserve">Design of publication and visual identity of exhibition     £4500      </w:t>
            </w:r>
          </w:p>
          <w:p w:rsidR="00366F14" w:rsidRDefault="00366F14" w:rsidP="00366F14"/>
          <w:p w:rsidR="00366F14" w:rsidRDefault="00366F14" w:rsidP="00366F14">
            <w:r>
              <w:t xml:space="preserve">Total contract amount </w:t>
            </w:r>
            <w:r w:rsidRPr="00366F14">
              <w:rPr>
                <w:b/>
              </w:rPr>
              <w:t>£41,700 (</w:t>
            </w:r>
            <w:proofErr w:type="spellStart"/>
            <w:r w:rsidRPr="00366F14">
              <w:rPr>
                <w:b/>
              </w:rPr>
              <w:t>ex Vat</w:t>
            </w:r>
            <w:proofErr w:type="spellEnd"/>
            <w:r w:rsidRPr="00366F14">
              <w:rPr>
                <w:b/>
              </w:rPr>
              <w:t>)</w:t>
            </w:r>
            <w:r>
              <w:t xml:space="preserve">                                </w:t>
            </w:r>
          </w:p>
          <w:p w:rsidR="00366F14" w:rsidRDefault="00366F14" w:rsidP="00366F14"/>
          <w:p w:rsidR="00366F14" w:rsidRPr="00750B92" w:rsidRDefault="00366F14" w:rsidP="00366F14">
            <w:r>
              <w:t xml:space="preserve">The printing and distribution of any materials relating to exhibition, including the exhibition publication will be led by Hull 2017 in consultation with Cabinet Gallery.             </w:t>
            </w:r>
          </w:p>
          <w:p w:rsidR="00750B92" w:rsidRDefault="00750B92" w:rsidP="00750B92">
            <w:pPr>
              <w:pStyle w:val="ListParagraph"/>
            </w:pPr>
          </w:p>
        </w:tc>
      </w:tr>
      <w:tr w:rsidR="00E66FE1" w:rsidTr="003B2261">
        <w:tc>
          <w:tcPr>
            <w:tcW w:w="2235" w:type="dxa"/>
          </w:tcPr>
          <w:p w:rsidR="00E66FE1" w:rsidRDefault="00E66FE1" w:rsidP="00E66FE1">
            <w:r>
              <w:lastRenderedPageBreak/>
              <w:t>PAYMENT SCHEDULE</w:t>
            </w:r>
          </w:p>
        </w:tc>
        <w:tc>
          <w:tcPr>
            <w:tcW w:w="7007" w:type="dxa"/>
          </w:tcPr>
          <w:p w:rsidR="00750B92" w:rsidRDefault="006C46AC">
            <w:r>
              <w:t xml:space="preserve">Payment schedule to be agreed with Cabinet Gallery prior to contract.  </w:t>
            </w:r>
          </w:p>
          <w:p w:rsidR="00FC218A" w:rsidRDefault="00FC218A"/>
          <w:p w:rsidR="00FC218A" w:rsidRDefault="00FC218A"/>
          <w:p w:rsidR="00FC218A" w:rsidRDefault="00FC218A">
            <w:r>
              <w:t xml:space="preserve">Suggested Payment schedule below </w:t>
            </w:r>
          </w:p>
          <w:p w:rsidR="00FC218A" w:rsidRDefault="00FC218A"/>
          <w:p w:rsidR="00FC218A" w:rsidRDefault="00FC218A" w:rsidP="00FC218A">
            <w:pPr>
              <w:pStyle w:val="ListParagraph"/>
              <w:numPr>
                <w:ilvl w:val="0"/>
                <w:numId w:val="28"/>
              </w:numPr>
            </w:pPr>
            <w:r>
              <w:t>On signing of agreed contract  : £10,000</w:t>
            </w:r>
          </w:p>
          <w:p w:rsidR="00750B92" w:rsidRDefault="00750B92"/>
          <w:p w:rsidR="00FC218A" w:rsidRDefault="00FC218A" w:rsidP="00FC218A">
            <w:pPr>
              <w:pStyle w:val="ListParagraph"/>
              <w:numPr>
                <w:ilvl w:val="0"/>
                <w:numId w:val="28"/>
              </w:numPr>
            </w:pPr>
            <w:r>
              <w:t>August 1</w:t>
            </w:r>
            <w:r w:rsidRPr="00FC218A">
              <w:rPr>
                <w:vertAlign w:val="superscript"/>
              </w:rPr>
              <w:t>st</w:t>
            </w:r>
            <w:r>
              <w:t xml:space="preserve"> 2016 : £10,000</w:t>
            </w:r>
          </w:p>
          <w:p w:rsidR="00FC218A" w:rsidRDefault="00FC218A"/>
          <w:p w:rsidR="00FC218A" w:rsidRDefault="00FC218A" w:rsidP="00FC218A">
            <w:pPr>
              <w:pStyle w:val="ListParagraph"/>
              <w:numPr>
                <w:ilvl w:val="0"/>
                <w:numId w:val="28"/>
              </w:numPr>
            </w:pPr>
            <w:r>
              <w:t>October 24</w:t>
            </w:r>
            <w:r w:rsidRPr="00FC218A">
              <w:rPr>
                <w:vertAlign w:val="superscript"/>
              </w:rPr>
              <w:t>th</w:t>
            </w:r>
            <w:r>
              <w:t xml:space="preserve"> 2016 : £10,000</w:t>
            </w:r>
          </w:p>
          <w:p w:rsidR="00FC218A" w:rsidRDefault="00FC218A"/>
          <w:p w:rsidR="00FC218A" w:rsidRDefault="00FC218A" w:rsidP="00FC218A">
            <w:pPr>
              <w:pStyle w:val="ListParagraph"/>
              <w:numPr>
                <w:ilvl w:val="0"/>
                <w:numId w:val="28"/>
              </w:numPr>
            </w:pPr>
            <w:r>
              <w:t>January 2</w:t>
            </w:r>
            <w:r w:rsidRPr="00FC218A">
              <w:rPr>
                <w:vertAlign w:val="superscript"/>
              </w:rPr>
              <w:t>nd</w:t>
            </w:r>
            <w:r>
              <w:t xml:space="preserve"> 2017 : £10,000</w:t>
            </w:r>
          </w:p>
          <w:p w:rsidR="00FC218A" w:rsidRDefault="00FC218A"/>
          <w:p w:rsidR="00FC218A" w:rsidRDefault="00FC218A" w:rsidP="00FC218A">
            <w:pPr>
              <w:pStyle w:val="ListParagraph"/>
              <w:numPr>
                <w:ilvl w:val="0"/>
                <w:numId w:val="28"/>
              </w:numPr>
            </w:pPr>
            <w:r>
              <w:t>April 11</w:t>
            </w:r>
            <w:r w:rsidRPr="00FC218A">
              <w:rPr>
                <w:vertAlign w:val="superscript"/>
              </w:rPr>
              <w:t>th</w:t>
            </w:r>
            <w:r>
              <w:t xml:space="preserve"> 2017 : £1,700 </w:t>
            </w:r>
          </w:p>
          <w:p w:rsidR="00043236" w:rsidRDefault="00043236"/>
        </w:tc>
      </w:tr>
      <w:tr w:rsidR="003B2261" w:rsidTr="003B2261">
        <w:tc>
          <w:tcPr>
            <w:tcW w:w="2235" w:type="dxa"/>
          </w:tcPr>
          <w:p w:rsidR="00366F14" w:rsidRDefault="00366F14" w:rsidP="00E66FE1"/>
          <w:p w:rsidR="003B2261" w:rsidRDefault="00E66FE1" w:rsidP="00B75DB6">
            <w:r>
              <w:t>KEY MILESTONES</w:t>
            </w:r>
            <w:r w:rsidR="007C1350">
              <w:t xml:space="preserve"> FOR PROJECT DEVELOPMENT / DELIVERY</w:t>
            </w:r>
          </w:p>
        </w:tc>
        <w:tc>
          <w:tcPr>
            <w:tcW w:w="7007" w:type="dxa"/>
          </w:tcPr>
          <w:p w:rsidR="00043236" w:rsidRDefault="00043236" w:rsidP="00366F14"/>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Cabinet and Quietus contracted – W/C</w:t>
            </w:r>
            <w:r>
              <w:rPr>
                <w:rFonts w:asciiTheme="minorHAnsi" w:hAnsiTheme="minorHAnsi" w:cs="Arial"/>
                <w:sz w:val="22"/>
                <w:szCs w:val="22"/>
              </w:rPr>
              <w:t xml:space="preserve"> 11</w:t>
            </w:r>
            <w:r w:rsidRPr="00B75DB6">
              <w:rPr>
                <w:rFonts w:asciiTheme="minorHAnsi" w:hAnsiTheme="minorHAnsi" w:cs="Arial"/>
                <w:sz w:val="22"/>
                <w:szCs w:val="22"/>
                <w:vertAlign w:val="superscript"/>
              </w:rPr>
              <w:t>th</w:t>
            </w:r>
            <w:r>
              <w:rPr>
                <w:rFonts w:asciiTheme="minorHAnsi" w:hAnsiTheme="minorHAnsi" w:cs="Arial"/>
                <w:sz w:val="22"/>
                <w:szCs w:val="22"/>
              </w:rPr>
              <w:t xml:space="preserve">  April</w:t>
            </w:r>
            <w:r w:rsidRPr="00B75DB6">
              <w:rPr>
                <w:rFonts w:asciiTheme="minorHAnsi" w:hAnsiTheme="minorHAnsi" w:cs="Arial"/>
                <w:sz w:val="22"/>
                <w:szCs w:val="22"/>
              </w:rPr>
              <w:t xml:space="preserve"> 2016 </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Archiving commences – W/C</w:t>
            </w:r>
            <w:r>
              <w:rPr>
                <w:rFonts w:asciiTheme="minorHAnsi" w:hAnsiTheme="minorHAnsi" w:cs="Arial"/>
                <w:sz w:val="22"/>
                <w:szCs w:val="22"/>
              </w:rPr>
              <w:t xml:space="preserve"> 18</w:t>
            </w:r>
            <w:r w:rsidRPr="00B75DB6">
              <w:rPr>
                <w:rFonts w:asciiTheme="minorHAnsi" w:hAnsiTheme="minorHAnsi" w:cs="Arial"/>
                <w:sz w:val="22"/>
                <w:szCs w:val="22"/>
                <w:vertAlign w:val="superscript"/>
              </w:rPr>
              <w:t>th</w:t>
            </w:r>
            <w:r>
              <w:rPr>
                <w:rFonts w:asciiTheme="minorHAnsi" w:hAnsiTheme="minorHAnsi" w:cs="Arial"/>
                <w:sz w:val="22"/>
                <w:szCs w:val="22"/>
              </w:rPr>
              <w:t xml:space="preserve"> April </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 xml:space="preserve">Live artists </w:t>
            </w:r>
            <w:r>
              <w:rPr>
                <w:rFonts w:asciiTheme="minorHAnsi" w:hAnsiTheme="minorHAnsi" w:cs="Arial"/>
                <w:sz w:val="22"/>
                <w:szCs w:val="22"/>
              </w:rPr>
              <w:t xml:space="preserve">and new commissions contracted and Opening/Closing dates for exhibition confirmed </w:t>
            </w:r>
            <w:r w:rsidRPr="00B75DB6">
              <w:rPr>
                <w:rFonts w:asciiTheme="minorHAnsi" w:hAnsiTheme="minorHAnsi" w:cs="Arial"/>
                <w:sz w:val="22"/>
                <w:szCs w:val="22"/>
              </w:rPr>
              <w:t>W/C 20</w:t>
            </w:r>
            <w:r w:rsidRPr="00B75DB6">
              <w:rPr>
                <w:rFonts w:asciiTheme="minorHAnsi" w:hAnsiTheme="minorHAnsi" w:cs="Arial"/>
                <w:sz w:val="22"/>
                <w:szCs w:val="22"/>
                <w:vertAlign w:val="superscript"/>
              </w:rPr>
              <w:t>th</w:t>
            </w:r>
            <w:r w:rsidRPr="00B75DB6">
              <w:rPr>
                <w:rFonts w:asciiTheme="minorHAnsi" w:hAnsiTheme="minorHAnsi" w:cs="Arial"/>
                <w:sz w:val="22"/>
                <w:szCs w:val="22"/>
              </w:rPr>
              <w:t xml:space="preserve"> June </w:t>
            </w:r>
          </w:p>
          <w:p w:rsidR="00B75DB6" w:rsidRDefault="00B75DB6" w:rsidP="00B75DB6">
            <w:pPr>
              <w:pStyle w:val="Normal1"/>
              <w:numPr>
                <w:ilvl w:val="0"/>
                <w:numId w:val="27"/>
              </w:numPr>
              <w:rPr>
                <w:rFonts w:asciiTheme="minorHAnsi" w:hAnsiTheme="minorHAnsi" w:cs="Arial"/>
                <w:sz w:val="22"/>
                <w:szCs w:val="22"/>
              </w:rPr>
            </w:pPr>
            <w:r>
              <w:rPr>
                <w:rFonts w:asciiTheme="minorHAnsi" w:hAnsiTheme="minorHAnsi" w:cs="Arial"/>
                <w:sz w:val="22"/>
                <w:szCs w:val="22"/>
              </w:rPr>
              <w:t>Full programme of accompanying activity confirmed W/C 2</w:t>
            </w:r>
            <w:r w:rsidRPr="00B75DB6">
              <w:rPr>
                <w:rFonts w:asciiTheme="minorHAnsi" w:hAnsiTheme="minorHAnsi" w:cs="Arial"/>
                <w:sz w:val="22"/>
                <w:szCs w:val="22"/>
                <w:vertAlign w:val="superscript"/>
              </w:rPr>
              <w:t>nd</w:t>
            </w:r>
            <w:r>
              <w:rPr>
                <w:rFonts w:asciiTheme="minorHAnsi" w:hAnsiTheme="minorHAnsi" w:cs="Arial"/>
                <w:sz w:val="22"/>
                <w:szCs w:val="22"/>
              </w:rPr>
              <w:t xml:space="preserve"> July </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Writers commissioned W/C 20</w:t>
            </w:r>
            <w:r w:rsidRPr="00B75DB6">
              <w:rPr>
                <w:rFonts w:asciiTheme="minorHAnsi" w:hAnsiTheme="minorHAnsi" w:cs="Arial"/>
                <w:sz w:val="22"/>
                <w:szCs w:val="22"/>
                <w:vertAlign w:val="superscript"/>
              </w:rPr>
              <w:t>th</w:t>
            </w:r>
            <w:r w:rsidRPr="00B75DB6">
              <w:rPr>
                <w:rFonts w:asciiTheme="minorHAnsi" w:hAnsiTheme="minorHAnsi" w:cs="Arial"/>
                <w:sz w:val="22"/>
                <w:szCs w:val="22"/>
              </w:rPr>
              <w:t xml:space="preserve"> June </w:t>
            </w:r>
          </w:p>
          <w:p w:rsidR="00B75DB6" w:rsidRPr="00B75DB6" w:rsidRDefault="00B75DB6" w:rsidP="00B75DB6">
            <w:pPr>
              <w:pStyle w:val="Normal1"/>
              <w:numPr>
                <w:ilvl w:val="0"/>
                <w:numId w:val="27"/>
              </w:numPr>
              <w:rPr>
                <w:rFonts w:asciiTheme="minorHAnsi" w:hAnsiTheme="minorHAnsi" w:cs="Arial"/>
                <w:sz w:val="22"/>
                <w:szCs w:val="22"/>
              </w:rPr>
            </w:pPr>
            <w:r>
              <w:rPr>
                <w:rFonts w:asciiTheme="minorHAnsi" w:hAnsiTheme="minorHAnsi" w:cs="Arial"/>
                <w:sz w:val="22"/>
                <w:szCs w:val="22"/>
              </w:rPr>
              <w:t>Press launch – 22</w:t>
            </w:r>
            <w:r>
              <w:rPr>
                <w:rFonts w:asciiTheme="minorHAnsi" w:hAnsiTheme="minorHAnsi" w:cs="Arial"/>
                <w:sz w:val="22"/>
                <w:szCs w:val="22"/>
                <w:vertAlign w:val="superscript"/>
              </w:rPr>
              <w:t>nd</w:t>
            </w:r>
            <w:r w:rsidRPr="00B75DB6">
              <w:rPr>
                <w:rFonts w:asciiTheme="minorHAnsi" w:hAnsiTheme="minorHAnsi" w:cs="Arial"/>
                <w:sz w:val="22"/>
                <w:szCs w:val="22"/>
              </w:rPr>
              <w:t xml:space="preserve"> Sep</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Exhibition plan agreed – W/C 12</w:t>
            </w:r>
            <w:r w:rsidRPr="00B75DB6">
              <w:rPr>
                <w:rFonts w:asciiTheme="minorHAnsi" w:hAnsiTheme="minorHAnsi" w:cs="Arial"/>
                <w:sz w:val="22"/>
                <w:szCs w:val="22"/>
                <w:vertAlign w:val="superscript"/>
              </w:rPr>
              <w:t>th</w:t>
            </w:r>
            <w:r w:rsidRPr="00B75DB6">
              <w:rPr>
                <w:rFonts w:asciiTheme="minorHAnsi" w:hAnsiTheme="minorHAnsi" w:cs="Arial"/>
                <w:sz w:val="22"/>
                <w:szCs w:val="22"/>
              </w:rPr>
              <w:t xml:space="preserve"> Sep </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Publication finalised and to print W/C 28</w:t>
            </w:r>
            <w:r w:rsidRPr="00B75DB6">
              <w:rPr>
                <w:rFonts w:asciiTheme="minorHAnsi" w:hAnsiTheme="minorHAnsi" w:cs="Arial"/>
                <w:sz w:val="22"/>
                <w:szCs w:val="22"/>
                <w:vertAlign w:val="superscript"/>
              </w:rPr>
              <w:t>th</w:t>
            </w:r>
            <w:r w:rsidRPr="00B75DB6">
              <w:rPr>
                <w:rFonts w:asciiTheme="minorHAnsi" w:hAnsiTheme="minorHAnsi" w:cs="Arial"/>
                <w:sz w:val="22"/>
                <w:szCs w:val="22"/>
              </w:rPr>
              <w:t xml:space="preserve"> Nov </w:t>
            </w:r>
          </w:p>
          <w:p w:rsidR="00B75DB6" w:rsidRP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Install W/C 28</w:t>
            </w:r>
            <w:r w:rsidRPr="00B75DB6">
              <w:rPr>
                <w:rFonts w:asciiTheme="minorHAnsi" w:hAnsiTheme="minorHAnsi" w:cs="Arial"/>
                <w:sz w:val="22"/>
                <w:szCs w:val="22"/>
                <w:vertAlign w:val="superscript"/>
              </w:rPr>
              <w:t>th</w:t>
            </w:r>
            <w:r w:rsidRPr="00B75DB6">
              <w:rPr>
                <w:rFonts w:asciiTheme="minorHAnsi" w:hAnsiTheme="minorHAnsi" w:cs="Arial"/>
                <w:sz w:val="22"/>
                <w:szCs w:val="22"/>
              </w:rPr>
              <w:t xml:space="preserve"> Nov </w:t>
            </w:r>
          </w:p>
          <w:p w:rsidR="00B75DB6" w:rsidRDefault="00B75DB6" w:rsidP="00B75DB6">
            <w:pPr>
              <w:pStyle w:val="Normal1"/>
              <w:numPr>
                <w:ilvl w:val="0"/>
                <w:numId w:val="27"/>
              </w:numPr>
              <w:rPr>
                <w:rFonts w:asciiTheme="minorHAnsi" w:hAnsiTheme="minorHAnsi" w:cs="Arial"/>
                <w:sz w:val="22"/>
                <w:szCs w:val="22"/>
              </w:rPr>
            </w:pPr>
            <w:r w:rsidRPr="00B75DB6">
              <w:rPr>
                <w:rFonts w:asciiTheme="minorHAnsi" w:hAnsiTheme="minorHAnsi" w:cs="Arial"/>
                <w:sz w:val="22"/>
                <w:szCs w:val="22"/>
              </w:rPr>
              <w:t>Exhibition Open</w:t>
            </w:r>
            <w:r>
              <w:rPr>
                <w:rFonts w:asciiTheme="minorHAnsi" w:hAnsiTheme="minorHAnsi" w:cs="Arial"/>
                <w:sz w:val="22"/>
                <w:szCs w:val="22"/>
              </w:rPr>
              <w:t xml:space="preserve"> from</w:t>
            </w:r>
            <w:r w:rsidRPr="00B75DB6">
              <w:rPr>
                <w:rFonts w:asciiTheme="minorHAnsi" w:hAnsiTheme="minorHAnsi" w:cs="Arial"/>
                <w:sz w:val="22"/>
                <w:szCs w:val="22"/>
              </w:rPr>
              <w:t xml:space="preserve"> 31</w:t>
            </w:r>
            <w:r w:rsidRPr="00B75DB6">
              <w:rPr>
                <w:rFonts w:asciiTheme="minorHAnsi" w:hAnsiTheme="minorHAnsi" w:cs="Arial"/>
                <w:sz w:val="22"/>
                <w:szCs w:val="22"/>
                <w:vertAlign w:val="superscript"/>
              </w:rPr>
              <w:t>st</w:t>
            </w:r>
            <w:r w:rsidRPr="00B75DB6">
              <w:rPr>
                <w:rFonts w:asciiTheme="minorHAnsi" w:hAnsiTheme="minorHAnsi" w:cs="Arial"/>
                <w:sz w:val="22"/>
                <w:szCs w:val="22"/>
              </w:rPr>
              <w:t xml:space="preserve"> December 2016</w:t>
            </w:r>
            <w:r>
              <w:rPr>
                <w:rFonts w:asciiTheme="minorHAnsi" w:hAnsiTheme="minorHAnsi" w:cs="Arial"/>
                <w:sz w:val="22"/>
                <w:szCs w:val="22"/>
              </w:rPr>
              <w:t xml:space="preserve"> until TBC </w:t>
            </w:r>
          </w:p>
          <w:p w:rsidR="00B75DB6" w:rsidRPr="00B75DB6" w:rsidRDefault="00B75DB6" w:rsidP="00B75DB6">
            <w:pPr>
              <w:pStyle w:val="Normal1"/>
              <w:ind w:left="720"/>
              <w:rPr>
                <w:rFonts w:asciiTheme="minorHAnsi" w:hAnsiTheme="minorHAnsi" w:cs="Arial"/>
                <w:sz w:val="22"/>
                <w:szCs w:val="22"/>
              </w:rPr>
            </w:pPr>
          </w:p>
          <w:p w:rsidR="00B75DB6" w:rsidRDefault="00B75DB6" w:rsidP="00366F14"/>
        </w:tc>
      </w:tr>
      <w:tr w:rsidR="00E66FE1" w:rsidTr="003B2261">
        <w:tc>
          <w:tcPr>
            <w:tcW w:w="2235" w:type="dxa"/>
          </w:tcPr>
          <w:p w:rsidR="00E66FE1" w:rsidRDefault="00B75DB6" w:rsidP="00B22F9B">
            <w:r>
              <w:t xml:space="preserve">CABINET GALLERY </w:t>
            </w:r>
            <w:r w:rsidR="000F3D8F">
              <w:t xml:space="preserve">OUTLINE </w:t>
            </w:r>
            <w:r w:rsidR="00E66FE1">
              <w:t>RESPONSIBILITIES</w:t>
            </w:r>
          </w:p>
        </w:tc>
        <w:tc>
          <w:tcPr>
            <w:tcW w:w="7007" w:type="dxa"/>
          </w:tcPr>
          <w:p w:rsidR="00DF6778" w:rsidRDefault="00B75DB6" w:rsidP="00550151">
            <w:pPr>
              <w:pStyle w:val="ListParagraph"/>
              <w:numPr>
                <w:ilvl w:val="0"/>
                <w:numId w:val="13"/>
              </w:numPr>
            </w:pPr>
            <w:r>
              <w:t xml:space="preserve">To work with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to curate an exhibition from both her personal archive and loaned items from the Tate-held archive of Genesis P-</w:t>
            </w:r>
            <w:proofErr w:type="spellStart"/>
            <w:r>
              <w:t>Orridge</w:t>
            </w:r>
            <w:proofErr w:type="spellEnd"/>
            <w:r>
              <w:t xml:space="preserve">. </w:t>
            </w:r>
          </w:p>
          <w:p w:rsidR="00B75DB6" w:rsidRDefault="00B75DB6" w:rsidP="00550151">
            <w:pPr>
              <w:pStyle w:val="ListParagraph"/>
              <w:numPr>
                <w:ilvl w:val="0"/>
                <w:numId w:val="13"/>
              </w:numPr>
            </w:pPr>
            <w:r>
              <w:t xml:space="preserve">To deliver and install the exhibition (in partnership with Hull 2017 Gallery Manager/Curator in time for opening in January 2017. </w:t>
            </w:r>
          </w:p>
          <w:p w:rsidR="00B75DB6" w:rsidRDefault="00B75DB6" w:rsidP="00550151">
            <w:pPr>
              <w:pStyle w:val="ListParagraph"/>
              <w:numPr>
                <w:ilvl w:val="0"/>
                <w:numId w:val="13"/>
              </w:numPr>
            </w:pPr>
            <w:r>
              <w:t xml:space="preserve">To lead on the commissioning of mew writing, editing </w:t>
            </w:r>
            <w:proofErr w:type="spellStart"/>
            <w:r>
              <w:t>amd</w:t>
            </w:r>
            <w:proofErr w:type="spellEnd"/>
            <w:r>
              <w:t xml:space="preserve"> all design of a supporting publication to accompany the exhibition. </w:t>
            </w:r>
          </w:p>
          <w:p w:rsidR="00B75DB6" w:rsidRDefault="00493856" w:rsidP="00550151">
            <w:pPr>
              <w:pStyle w:val="ListParagraph"/>
              <w:numPr>
                <w:ilvl w:val="0"/>
                <w:numId w:val="13"/>
              </w:numPr>
            </w:pPr>
            <w:r>
              <w:t xml:space="preserve">To lead on creation of visual identity for the exhibition. </w:t>
            </w:r>
          </w:p>
          <w:p w:rsidR="00493856" w:rsidRDefault="00493856" w:rsidP="00550151">
            <w:pPr>
              <w:pStyle w:val="ListParagraph"/>
              <w:numPr>
                <w:ilvl w:val="0"/>
                <w:numId w:val="13"/>
              </w:numPr>
            </w:pPr>
            <w:r>
              <w:t>In partnership with the artist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Hull 2017) to curate a programme of accompanying talks and lectures.</w:t>
            </w:r>
          </w:p>
          <w:p w:rsidR="00493856" w:rsidRDefault="00493856" w:rsidP="00550151">
            <w:pPr>
              <w:pStyle w:val="ListParagraph"/>
              <w:numPr>
                <w:ilvl w:val="0"/>
                <w:numId w:val="13"/>
              </w:numPr>
            </w:pPr>
            <w:r>
              <w:t xml:space="preserve">To work in partnership with the Quietus to ensure that all programme content related to both the exhibition and any associated live activity is curated and in keeping with the vision of the project.    </w:t>
            </w:r>
          </w:p>
        </w:tc>
      </w:tr>
      <w:tr w:rsidR="00E66FE1" w:rsidTr="003B2261">
        <w:tc>
          <w:tcPr>
            <w:tcW w:w="2235" w:type="dxa"/>
          </w:tcPr>
          <w:p w:rsidR="00E66FE1" w:rsidRDefault="00E66FE1" w:rsidP="00B22F9B">
            <w:r>
              <w:t xml:space="preserve">HULL 2017 </w:t>
            </w:r>
            <w:r w:rsidR="000F3D8F">
              <w:t xml:space="preserve">OUTLINE </w:t>
            </w:r>
            <w:r>
              <w:t>RESPONSIBILITIES</w:t>
            </w:r>
          </w:p>
        </w:tc>
        <w:tc>
          <w:tcPr>
            <w:tcW w:w="7007" w:type="dxa"/>
          </w:tcPr>
          <w:p w:rsidR="00DF6778" w:rsidRDefault="00493856" w:rsidP="00DF6778">
            <w:pPr>
              <w:pStyle w:val="ListParagraph"/>
              <w:numPr>
                <w:ilvl w:val="0"/>
                <w:numId w:val="13"/>
              </w:numPr>
            </w:pPr>
            <w:r>
              <w:t>To support the production and presentation of the exhibition and associated activity</w:t>
            </w:r>
            <w:r w:rsidR="00550151">
              <w:t xml:space="preserve"> including support from Producing, Technical and Operations, Marketing, Digital and Community Engagement teams</w:t>
            </w:r>
          </w:p>
          <w:p w:rsidR="00144C9F" w:rsidRDefault="00144C9F" w:rsidP="00BD24C9">
            <w:pPr>
              <w:numPr>
                <w:ilvl w:val="0"/>
                <w:numId w:val="13"/>
              </w:numPr>
            </w:pPr>
            <w:r>
              <w:t xml:space="preserve">Manage all day to day operational responsibility of the gallery space </w:t>
            </w:r>
          </w:p>
          <w:p w:rsidR="00144C9F" w:rsidRDefault="00144C9F" w:rsidP="00BD24C9">
            <w:pPr>
              <w:numPr>
                <w:ilvl w:val="0"/>
                <w:numId w:val="13"/>
              </w:numPr>
            </w:pPr>
            <w:r>
              <w:t xml:space="preserve">Lead on production of all </w:t>
            </w:r>
            <w:r w:rsidR="00807048">
              <w:t xml:space="preserve">promotional material, including any publication to accompany the exhibition. </w:t>
            </w:r>
          </w:p>
          <w:p w:rsidR="00550151" w:rsidRDefault="00550151" w:rsidP="00DF6778">
            <w:pPr>
              <w:numPr>
                <w:ilvl w:val="0"/>
                <w:numId w:val="13"/>
              </w:numPr>
            </w:pPr>
            <w:r>
              <w:lastRenderedPageBreak/>
              <w:t>Advise on event management</w:t>
            </w:r>
            <w:r w:rsidR="00BD24C9">
              <w:t xml:space="preserve"> and technical delivery</w:t>
            </w:r>
          </w:p>
          <w:p w:rsidR="00BD24C9" w:rsidRDefault="00BD24C9" w:rsidP="00DF6778">
            <w:pPr>
              <w:numPr>
                <w:ilvl w:val="0"/>
                <w:numId w:val="13"/>
              </w:numPr>
            </w:pPr>
            <w:r>
              <w:t>Lead on the monitoring and evaluation process</w:t>
            </w:r>
          </w:p>
          <w:p w:rsidR="00E66FE1" w:rsidRDefault="00DF6778" w:rsidP="00550151">
            <w:pPr>
              <w:numPr>
                <w:ilvl w:val="0"/>
                <w:numId w:val="13"/>
              </w:numPr>
            </w:pPr>
            <w:r w:rsidRPr="00DF6778">
              <w:t>And any other areas identified at the full contracting stage</w:t>
            </w:r>
          </w:p>
        </w:tc>
      </w:tr>
      <w:tr w:rsidR="007C1350" w:rsidTr="003B2261">
        <w:tc>
          <w:tcPr>
            <w:tcW w:w="2235" w:type="dxa"/>
          </w:tcPr>
          <w:p w:rsidR="007C1350" w:rsidRDefault="007C1350" w:rsidP="006D34A9">
            <w:r>
              <w:lastRenderedPageBreak/>
              <w:t>REPORTING</w:t>
            </w:r>
          </w:p>
        </w:tc>
        <w:tc>
          <w:tcPr>
            <w:tcW w:w="7007" w:type="dxa"/>
          </w:tcPr>
          <w:p w:rsidR="00807048" w:rsidRDefault="00DF6778" w:rsidP="00807048">
            <w:pPr>
              <w:pStyle w:val="ListParagraph"/>
              <w:numPr>
                <w:ilvl w:val="0"/>
                <w:numId w:val="19"/>
              </w:numPr>
            </w:pPr>
            <w:r>
              <w:t xml:space="preserve">Reporting dates to be agreed at full contract.  </w:t>
            </w:r>
          </w:p>
          <w:p w:rsidR="00807048" w:rsidRDefault="00807048" w:rsidP="00807048">
            <w:pPr>
              <w:pStyle w:val="ListParagraph"/>
              <w:numPr>
                <w:ilvl w:val="0"/>
                <w:numId w:val="19"/>
              </w:numPr>
            </w:pPr>
            <w:r>
              <w:t xml:space="preserve">Payments to be staged in consultation with Cabinet and against agreed reporting criteria as defined by project milestones   </w:t>
            </w:r>
          </w:p>
          <w:p w:rsidR="005339B1" w:rsidRDefault="005339B1" w:rsidP="00807048">
            <w:pPr>
              <w:pStyle w:val="ListParagraph"/>
              <w:numPr>
                <w:ilvl w:val="0"/>
                <w:numId w:val="19"/>
              </w:numPr>
            </w:pPr>
            <w:r>
              <w:t xml:space="preserve">Any major changes to </w:t>
            </w:r>
            <w:proofErr w:type="gramStart"/>
            <w:r>
              <w:t>these</w:t>
            </w:r>
            <w:proofErr w:type="gramEnd"/>
            <w:r>
              <w:t xml:space="preserve"> content of these documents as agreed as contracting stage to be signed off by Hull 2017 as co-producer.</w:t>
            </w:r>
          </w:p>
        </w:tc>
      </w:tr>
      <w:tr w:rsidR="006C46AC" w:rsidTr="006C46AC">
        <w:tc>
          <w:tcPr>
            <w:tcW w:w="9242" w:type="dxa"/>
            <w:gridSpan w:val="2"/>
          </w:tcPr>
          <w:p w:rsidR="006C46AC" w:rsidRPr="006C46AC" w:rsidRDefault="006C46AC">
            <w:pPr>
              <w:rPr>
                <w:i/>
              </w:rPr>
            </w:pPr>
            <w:r w:rsidRPr="006C46AC">
              <w:rPr>
                <w:i/>
              </w:rPr>
              <w:t xml:space="preserve">The terms of this deal memo are not intended to be legally binding.  </w:t>
            </w:r>
          </w:p>
        </w:tc>
      </w:tr>
    </w:tbl>
    <w:p w:rsidR="003B2261" w:rsidRDefault="003B2261"/>
    <w:sectPr w:rsidR="003B2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F85"/>
    <w:multiLevelType w:val="hybridMultilevel"/>
    <w:tmpl w:val="2A8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503C9"/>
    <w:multiLevelType w:val="hybridMultilevel"/>
    <w:tmpl w:val="D208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915EA"/>
    <w:multiLevelType w:val="hybridMultilevel"/>
    <w:tmpl w:val="C0FC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347E"/>
    <w:multiLevelType w:val="hybridMultilevel"/>
    <w:tmpl w:val="FACC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2775B"/>
    <w:multiLevelType w:val="hybridMultilevel"/>
    <w:tmpl w:val="623A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50B1D"/>
    <w:multiLevelType w:val="hybridMultilevel"/>
    <w:tmpl w:val="1C7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13DBF"/>
    <w:multiLevelType w:val="hybridMultilevel"/>
    <w:tmpl w:val="FF6A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26F46"/>
    <w:multiLevelType w:val="hybridMultilevel"/>
    <w:tmpl w:val="457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C1002"/>
    <w:multiLevelType w:val="hybridMultilevel"/>
    <w:tmpl w:val="4B94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67D9C"/>
    <w:multiLevelType w:val="hybridMultilevel"/>
    <w:tmpl w:val="2C02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254314"/>
    <w:multiLevelType w:val="hybridMultilevel"/>
    <w:tmpl w:val="3BA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10823"/>
    <w:multiLevelType w:val="hybridMultilevel"/>
    <w:tmpl w:val="898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E50D8"/>
    <w:multiLevelType w:val="hybridMultilevel"/>
    <w:tmpl w:val="6C5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8D1185"/>
    <w:multiLevelType w:val="hybridMultilevel"/>
    <w:tmpl w:val="8C16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87417"/>
    <w:multiLevelType w:val="hybridMultilevel"/>
    <w:tmpl w:val="E97A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210795"/>
    <w:multiLevelType w:val="hybridMultilevel"/>
    <w:tmpl w:val="488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F7E0B"/>
    <w:multiLevelType w:val="hybridMultilevel"/>
    <w:tmpl w:val="8280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05AA5"/>
    <w:multiLevelType w:val="hybridMultilevel"/>
    <w:tmpl w:val="5CB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E16322"/>
    <w:multiLevelType w:val="hybridMultilevel"/>
    <w:tmpl w:val="A010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74C48"/>
    <w:multiLevelType w:val="hybridMultilevel"/>
    <w:tmpl w:val="7156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8D2B61"/>
    <w:multiLevelType w:val="hybridMultilevel"/>
    <w:tmpl w:val="D3BE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861C0F"/>
    <w:multiLevelType w:val="hybridMultilevel"/>
    <w:tmpl w:val="3D8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156480"/>
    <w:multiLevelType w:val="hybridMultilevel"/>
    <w:tmpl w:val="B5A2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03F7A"/>
    <w:multiLevelType w:val="hybridMultilevel"/>
    <w:tmpl w:val="C00C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F5273E"/>
    <w:multiLevelType w:val="hybridMultilevel"/>
    <w:tmpl w:val="3C8C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E51933"/>
    <w:multiLevelType w:val="hybridMultilevel"/>
    <w:tmpl w:val="F0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311607"/>
    <w:multiLevelType w:val="hybridMultilevel"/>
    <w:tmpl w:val="7B6A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2"/>
  </w:num>
  <w:num w:numId="4">
    <w:abstractNumId w:val="16"/>
  </w:num>
  <w:num w:numId="5">
    <w:abstractNumId w:val="12"/>
  </w:num>
  <w:num w:numId="6">
    <w:abstractNumId w:val="26"/>
  </w:num>
  <w:num w:numId="7">
    <w:abstractNumId w:val="6"/>
  </w:num>
  <w:num w:numId="8">
    <w:abstractNumId w:val="3"/>
  </w:num>
  <w:num w:numId="9">
    <w:abstractNumId w:val="25"/>
  </w:num>
  <w:num w:numId="10">
    <w:abstractNumId w:val="7"/>
  </w:num>
  <w:num w:numId="11">
    <w:abstractNumId w:val="11"/>
  </w:num>
  <w:num w:numId="12">
    <w:abstractNumId w:val="27"/>
  </w:num>
  <w:num w:numId="13">
    <w:abstractNumId w:val="24"/>
  </w:num>
  <w:num w:numId="14">
    <w:abstractNumId w:val="2"/>
  </w:num>
  <w:num w:numId="15">
    <w:abstractNumId w:val="0"/>
  </w:num>
  <w:num w:numId="16">
    <w:abstractNumId w:val="18"/>
  </w:num>
  <w:num w:numId="17">
    <w:abstractNumId w:val="4"/>
  </w:num>
  <w:num w:numId="18">
    <w:abstractNumId w:val="21"/>
  </w:num>
  <w:num w:numId="19">
    <w:abstractNumId w:val="10"/>
  </w:num>
  <w:num w:numId="20">
    <w:abstractNumId w:val="13"/>
  </w:num>
  <w:num w:numId="21">
    <w:abstractNumId w:val="23"/>
  </w:num>
  <w:num w:numId="22">
    <w:abstractNumId w:val="5"/>
  </w:num>
  <w:num w:numId="23">
    <w:abstractNumId w:val="1"/>
  </w:num>
  <w:num w:numId="24">
    <w:abstractNumId w:val="19"/>
  </w:num>
  <w:num w:numId="25">
    <w:abstractNumId w:val="20"/>
  </w:num>
  <w:num w:numId="26">
    <w:abstractNumId w:val="8"/>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61"/>
    <w:rsid w:val="000204D5"/>
    <w:rsid w:val="00043236"/>
    <w:rsid w:val="0005092D"/>
    <w:rsid w:val="0007219A"/>
    <w:rsid w:val="000B765D"/>
    <w:rsid w:val="000F3D8F"/>
    <w:rsid w:val="00144C9F"/>
    <w:rsid w:val="00164ACD"/>
    <w:rsid w:val="002A6321"/>
    <w:rsid w:val="002D6443"/>
    <w:rsid w:val="00366F14"/>
    <w:rsid w:val="00376A8F"/>
    <w:rsid w:val="00387AE0"/>
    <w:rsid w:val="003B2261"/>
    <w:rsid w:val="003E7A6C"/>
    <w:rsid w:val="003F6E4E"/>
    <w:rsid w:val="00417244"/>
    <w:rsid w:val="004559CA"/>
    <w:rsid w:val="00493856"/>
    <w:rsid w:val="004E5538"/>
    <w:rsid w:val="005339B1"/>
    <w:rsid w:val="00550151"/>
    <w:rsid w:val="006C46AC"/>
    <w:rsid w:val="007254D5"/>
    <w:rsid w:val="00750B92"/>
    <w:rsid w:val="007C1350"/>
    <w:rsid w:val="007D413A"/>
    <w:rsid w:val="00807048"/>
    <w:rsid w:val="0088591D"/>
    <w:rsid w:val="008D0C54"/>
    <w:rsid w:val="008F69B0"/>
    <w:rsid w:val="00976069"/>
    <w:rsid w:val="009E6324"/>
    <w:rsid w:val="00B45B52"/>
    <w:rsid w:val="00B75DB6"/>
    <w:rsid w:val="00BD24C9"/>
    <w:rsid w:val="00C926E7"/>
    <w:rsid w:val="00DD2451"/>
    <w:rsid w:val="00DF56CD"/>
    <w:rsid w:val="00DF6778"/>
    <w:rsid w:val="00E66FE1"/>
    <w:rsid w:val="00EA73B7"/>
    <w:rsid w:val="00EC7167"/>
    <w:rsid w:val="00F45515"/>
    <w:rsid w:val="00F656CB"/>
    <w:rsid w:val="00FC218A"/>
    <w:rsid w:val="00FE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324"/>
    <w:pPr>
      <w:ind w:left="720"/>
      <w:contextualSpacing/>
    </w:pPr>
  </w:style>
  <w:style w:type="paragraph" w:styleId="BalloonText">
    <w:name w:val="Balloon Text"/>
    <w:basedOn w:val="Normal"/>
    <w:link w:val="BalloonTextChar"/>
    <w:uiPriority w:val="99"/>
    <w:semiHidden/>
    <w:unhideWhenUsed/>
    <w:rsid w:val="00E6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E1"/>
    <w:rPr>
      <w:rFonts w:ascii="Tahoma" w:hAnsi="Tahoma" w:cs="Tahoma"/>
      <w:sz w:val="16"/>
      <w:szCs w:val="16"/>
    </w:rPr>
  </w:style>
  <w:style w:type="paragraph" w:customStyle="1" w:styleId="Normal1">
    <w:name w:val="Normal1"/>
    <w:rsid w:val="00B75DB6"/>
    <w:pPr>
      <w:spacing w:after="0" w:line="240" w:lineRule="auto"/>
    </w:pPr>
    <w:rPr>
      <w:rFonts w:ascii="Cambria" w:eastAsia="Cambria" w:hAnsi="Cambria" w:cs="Cambria"/>
      <w:color w:val="000000"/>
      <w:sz w:val="24"/>
      <w:szCs w:val="24"/>
    </w:rPr>
  </w:style>
  <w:style w:type="character" w:styleId="Hyperlink">
    <w:name w:val="Hyperlink"/>
    <w:basedOn w:val="DefaultParagraphFont"/>
    <w:uiPriority w:val="99"/>
    <w:semiHidden/>
    <w:unhideWhenUsed/>
    <w:rsid w:val="00F65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324"/>
    <w:pPr>
      <w:ind w:left="720"/>
      <w:contextualSpacing/>
    </w:pPr>
  </w:style>
  <w:style w:type="paragraph" w:styleId="BalloonText">
    <w:name w:val="Balloon Text"/>
    <w:basedOn w:val="Normal"/>
    <w:link w:val="BalloonTextChar"/>
    <w:uiPriority w:val="99"/>
    <w:semiHidden/>
    <w:unhideWhenUsed/>
    <w:rsid w:val="00E6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E1"/>
    <w:rPr>
      <w:rFonts w:ascii="Tahoma" w:hAnsi="Tahoma" w:cs="Tahoma"/>
      <w:sz w:val="16"/>
      <w:szCs w:val="16"/>
    </w:rPr>
  </w:style>
  <w:style w:type="paragraph" w:customStyle="1" w:styleId="Normal1">
    <w:name w:val="Normal1"/>
    <w:rsid w:val="00B75DB6"/>
    <w:pPr>
      <w:spacing w:after="0" w:line="240" w:lineRule="auto"/>
    </w:pPr>
    <w:rPr>
      <w:rFonts w:ascii="Cambria" w:eastAsia="Cambria" w:hAnsi="Cambria" w:cs="Cambria"/>
      <w:color w:val="000000"/>
      <w:sz w:val="24"/>
      <w:szCs w:val="24"/>
    </w:rPr>
  </w:style>
  <w:style w:type="character" w:styleId="Hyperlink">
    <w:name w:val="Hyperlink"/>
    <w:basedOn w:val="DefaultParagraphFont"/>
    <w:uiPriority w:val="99"/>
    <w:semiHidden/>
    <w:unhideWhenUsed/>
    <w:rsid w:val="00F65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t@cabinetltd.demon.co.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01CC8EE-EF51-4ADD-894B-3BB9E1F671F1}">
  <ds:schemaRefs>
    <ds:schemaRef ds:uri="http://schemas.openxmlformats.org/officeDocument/2006/bibliography"/>
  </ds:schemaRefs>
</ds:datastoreItem>
</file>

<file path=customXml/itemProps2.xml><?xml version="1.0" encoding="utf-8"?>
<ds:datastoreItem xmlns:ds="http://schemas.openxmlformats.org/officeDocument/2006/customXml" ds:itemID="{939BCBF8-10FB-4D49-84F9-3389DE591474}"/>
</file>

<file path=customXml/itemProps3.xml><?xml version="1.0" encoding="utf-8"?>
<ds:datastoreItem xmlns:ds="http://schemas.openxmlformats.org/officeDocument/2006/customXml" ds:itemID="{1EA3B25E-967A-4FA4-B975-8C5FAE8A701F}"/>
</file>

<file path=customXml/itemProps4.xml><?xml version="1.0" encoding="utf-8"?>
<ds:datastoreItem xmlns:ds="http://schemas.openxmlformats.org/officeDocument/2006/customXml" ds:itemID="{82504907-8736-4534-8CC2-3568891927DD}"/>
</file>

<file path=docProps/app.xml><?xml version="1.0" encoding="utf-8"?>
<Properties xmlns="http://schemas.openxmlformats.org/officeDocument/2006/extended-properties" xmlns:vt="http://schemas.openxmlformats.org/officeDocument/2006/docPropsVTypes">
  <Template>Normal</Template>
  <TotalTime>28</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Sam Hunt</cp:lastModifiedBy>
  <cp:revision>6</cp:revision>
  <dcterms:created xsi:type="dcterms:W3CDTF">2016-03-22T13:28:00Z</dcterms:created>
  <dcterms:modified xsi:type="dcterms:W3CDTF">2016-03-24T09:42:00Z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