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00AC5" w14:textId="4477F8BA" w:rsidR="00530C6D" w:rsidRDefault="00530C6D" w:rsidP="0015159C">
      <w:pPr>
        <w:jc w:val="right"/>
      </w:pPr>
    </w:p>
    <w:p w14:paraId="5DDA1BEE" w14:textId="1256DC89" w:rsidR="008848E3" w:rsidRPr="00BC57EA" w:rsidRDefault="00BC57EA" w:rsidP="00BC57EA">
      <w:pPr>
        <w:jc w:val="center"/>
        <w:rPr>
          <w:b/>
        </w:rPr>
      </w:pPr>
      <w:r w:rsidRPr="00BC57EA">
        <w:rPr>
          <w:b/>
        </w:rPr>
        <w:t>Cirk Vost – Epicycle</w:t>
      </w:r>
    </w:p>
    <w:p w14:paraId="6360029B" w14:textId="60CEE5FF" w:rsidR="0015159C" w:rsidRPr="00BC57EA" w:rsidRDefault="0015159C" w:rsidP="0015159C">
      <w:pPr>
        <w:jc w:val="center"/>
        <w:rPr>
          <w:b/>
        </w:rPr>
      </w:pPr>
      <w:r>
        <w:rPr>
          <w:b/>
        </w:rPr>
        <w:t>Briefing note for ESAG 8</w:t>
      </w:r>
      <w:r w:rsidRPr="0015159C">
        <w:rPr>
          <w:b/>
          <w:vertAlign w:val="superscript"/>
        </w:rPr>
        <w:t>th</w:t>
      </w:r>
      <w:r>
        <w:rPr>
          <w:b/>
        </w:rPr>
        <w:t xml:space="preserve"> June</w:t>
      </w:r>
    </w:p>
    <w:p w14:paraId="0A66133D" w14:textId="77777777" w:rsidR="00BC57EA" w:rsidRDefault="00BC57EA"/>
    <w:tbl>
      <w:tblPr>
        <w:tblStyle w:val="TableGrid"/>
        <w:tblW w:w="0" w:type="auto"/>
        <w:tblLook w:val="04A0" w:firstRow="1" w:lastRow="0" w:firstColumn="1" w:lastColumn="0" w:noHBand="0" w:noVBand="1"/>
      </w:tblPr>
      <w:tblGrid>
        <w:gridCol w:w="2830"/>
        <w:gridCol w:w="6186"/>
      </w:tblGrid>
      <w:tr w:rsidR="008848E3" w14:paraId="14C76A6A" w14:textId="77777777" w:rsidTr="008848E3">
        <w:tc>
          <w:tcPr>
            <w:tcW w:w="2830" w:type="dxa"/>
          </w:tcPr>
          <w:p w14:paraId="136E56AD" w14:textId="77777777" w:rsidR="008848E3" w:rsidRDefault="008848E3">
            <w:r>
              <w:t>Company Name</w:t>
            </w:r>
          </w:p>
        </w:tc>
        <w:tc>
          <w:tcPr>
            <w:tcW w:w="6186" w:type="dxa"/>
          </w:tcPr>
          <w:p w14:paraId="7E805408" w14:textId="77777777" w:rsidR="008848E3" w:rsidRDefault="008848E3">
            <w:r>
              <w:t>Cirk Vost</w:t>
            </w:r>
          </w:p>
          <w:p w14:paraId="0AFFDCD4" w14:textId="37DEEEEA" w:rsidR="00B94A12" w:rsidRDefault="00B94A12"/>
        </w:tc>
      </w:tr>
      <w:tr w:rsidR="008848E3" w14:paraId="44FB6214" w14:textId="77777777" w:rsidTr="008848E3">
        <w:tc>
          <w:tcPr>
            <w:tcW w:w="2830" w:type="dxa"/>
          </w:tcPr>
          <w:p w14:paraId="414A1D3B" w14:textId="77777777" w:rsidR="008848E3" w:rsidRDefault="008848E3">
            <w:r>
              <w:t>Production</w:t>
            </w:r>
          </w:p>
        </w:tc>
        <w:tc>
          <w:tcPr>
            <w:tcW w:w="6186" w:type="dxa"/>
          </w:tcPr>
          <w:p w14:paraId="1BCA384F" w14:textId="77777777" w:rsidR="008848E3" w:rsidRDefault="008848E3">
            <w:r>
              <w:t>Epicycle</w:t>
            </w:r>
          </w:p>
          <w:p w14:paraId="5350272A" w14:textId="7AEAC666" w:rsidR="00B94A12" w:rsidRDefault="00B94A12"/>
        </w:tc>
      </w:tr>
      <w:tr w:rsidR="008848E3" w14:paraId="4DCF84D4" w14:textId="77777777" w:rsidTr="008848E3">
        <w:tc>
          <w:tcPr>
            <w:tcW w:w="2830" w:type="dxa"/>
          </w:tcPr>
          <w:p w14:paraId="7AEE81B6" w14:textId="77777777" w:rsidR="008848E3" w:rsidRDefault="008848E3">
            <w:r>
              <w:t>Dates</w:t>
            </w:r>
          </w:p>
        </w:tc>
        <w:tc>
          <w:tcPr>
            <w:tcW w:w="6186" w:type="dxa"/>
          </w:tcPr>
          <w:p w14:paraId="545278A2" w14:textId="4CC7ECE7" w:rsidR="008848E3" w:rsidRDefault="008848E3">
            <w:r>
              <w:t>12</w:t>
            </w:r>
            <w:r w:rsidRPr="008848E3">
              <w:rPr>
                <w:vertAlign w:val="superscript"/>
              </w:rPr>
              <w:t>th</w:t>
            </w:r>
            <w:r>
              <w:t xml:space="preserve"> and 13</w:t>
            </w:r>
            <w:r w:rsidRPr="008848E3">
              <w:rPr>
                <w:vertAlign w:val="superscript"/>
              </w:rPr>
              <w:t>th</w:t>
            </w:r>
            <w:r>
              <w:t xml:space="preserve"> August</w:t>
            </w:r>
            <w:r w:rsidR="0015159C">
              <w:t xml:space="preserve"> 2017</w:t>
            </w:r>
            <w:r>
              <w:t>.  1 show per day</w:t>
            </w:r>
          </w:p>
          <w:p w14:paraId="2AF32B43" w14:textId="66F807DC" w:rsidR="00B94A12" w:rsidRDefault="00B94A12"/>
        </w:tc>
      </w:tr>
      <w:tr w:rsidR="00B24548" w14:paraId="0934CE11" w14:textId="77777777" w:rsidTr="008848E3">
        <w:tc>
          <w:tcPr>
            <w:tcW w:w="2830" w:type="dxa"/>
          </w:tcPr>
          <w:p w14:paraId="30AFD964" w14:textId="1CE37D02" w:rsidR="00B24548" w:rsidRDefault="00B24548">
            <w:r>
              <w:t>Start time</w:t>
            </w:r>
          </w:p>
        </w:tc>
        <w:tc>
          <w:tcPr>
            <w:tcW w:w="6186" w:type="dxa"/>
          </w:tcPr>
          <w:p w14:paraId="52000CCD" w14:textId="77777777" w:rsidR="00B94A12" w:rsidRDefault="00B24548">
            <w:r>
              <w:t>TBC – 9 or 9:30 P.M.</w:t>
            </w:r>
          </w:p>
          <w:p w14:paraId="6533A459" w14:textId="65ADA782" w:rsidR="00B24548" w:rsidRDefault="00B24548"/>
        </w:tc>
      </w:tr>
      <w:tr w:rsidR="00B24548" w14:paraId="068B67D3" w14:textId="77777777" w:rsidTr="008848E3">
        <w:tc>
          <w:tcPr>
            <w:tcW w:w="2830" w:type="dxa"/>
          </w:tcPr>
          <w:p w14:paraId="379F0B12" w14:textId="1627C213" w:rsidR="00B24548" w:rsidRDefault="00B24548">
            <w:r>
              <w:t xml:space="preserve">Duration </w:t>
            </w:r>
          </w:p>
        </w:tc>
        <w:tc>
          <w:tcPr>
            <w:tcW w:w="6186" w:type="dxa"/>
          </w:tcPr>
          <w:p w14:paraId="4472081A" w14:textId="77777777" w:rsidR="00B94A12" w:rsidRDefault="00B24548">
            <w:r>
              <w:t>Approx 1 hour</w:t>
            </w:r>
          </w:p>
          <w:p w14:paraId="6B7870C7" w14:textId="3B0185AD" w:rsidR="00B24548" w:rsidRDefault="00B24548"/>
        </w:tc>
      </w:tr>
      <w:tr w:rsidR="00B24548" w14:paraId="1DA46B19" w14:textId="77777777" w:rsidTr="008848E3">
        <w:tc>
          <w:tcPr>
            <w:tcW w:w="2830" w:type="dxa"/>
          </w:tcPr>
          <w:p w14:paraId="7393805E" w14:textId="5834052E" w:rsidR="00B24548" w:rsidRDefault="00B24548">
            <w:r>
              <w:t>Nature of the show</w:t>
            </w:r>
          </w:p>
        </w:tc>
        <w:tc>
          <w:tcPr>
            <w:tcW w:w="6186" w:type="dxa"/>
          </w:tcPr>
          <w:p w14:paraId="2CE98579" w14:textId="77777777" w:rsidR="00B94A12" w:rsidRDefault="00B24548">
            <w:r>
              <w:t>An outdoor circus performance, inspired by comic books.  Performed on a bespoke circus rig – a 13.5 m double circle rising from the ground.  Within this “wheel” eight acrobats and a live musician perform.</w:t>
            </w:r>
          </w:p>
          <w:p w14:paraId="7105C4A3" w14:textId="77777777" w:rsidR="00B94A12" w:rsidRDefault="00B94A12"/>
          <w:p w14:paraId="7A341473" w14:textId="77777777" w:rsidR="00B94A12" w:rsidRDefault="00B94A12">
            <w:r>
              <w:t xml:space="preserve">This is an existing touring show with developed tech riders, structural calculations and safety documentation – currently being reviewed by the delivery team.  </w:t>
            </w:r>
          </w:p>
          <w:p w14:paraId="7CB0972C" w14:textId="3E5FBF20" w:rsidR="00B24548" w:rsidRDefault="00B24548"/>
        </w:tc>
      </w:tr>
      <w:tr w:rsidR="008848E3" w14:paraId="03186B60" w14:textId="77777777" w:rsidTr="008848E3">
        <w:tc>
          <w:tcPr>
            <w:tcW w:w="2830" w:type="dxa"/>
          </w:tcPr>
          <w:p w14:paraId="2D278A8A" w14:textId="77777777" w:rsidR="008848E3" w:rsidRDefault="008848E3">
            <w:r>
              <w:t>Audience</w:t>
            </w:r>
          </w:p>
        </w:tc>
        <w:tc>
          <w:tcPr>
            <w:tcW w:w="6186" w:type="dxa"/>
          </w:tcPr>
          <w:p w14:paraId="60FA9B95" w14:textId="77777777" w:rsidR="008848E3" w:rsidRDefault="008848E3">
            <w:r>
              <w:t>500 x deckchairs (250 on each side of the structure)</w:t>
            </w:r>
          </w:p>
          <w:p w14:paraId="45FF1106" w14:textId="3535BA07" w:rsidR="008848E3" w:rsidRDefault="008848E3">
            <w:r>
              <w:t>UP to 4,000 standing around the perimeter</w:t>
            </w:r>
            <w:r w:rsidR="00B94A12">
              <w:t xml:space="preserve"> = Total 4,500</w:t>
            </w:r>
            <w:r w:rsidR="0015159C">
              <w:t xml:space="preserve"> per night. </w:t>
            </w:r>
          </w:p>
          <w:p w14:paraId="092F9FF7" w14:textId="1C24AC9F" w:rsidR="00B94A12" w:rsidRDefault="00B94A12"/>
        </w:tc>
      </w:tr>
      <w:tr w:rsidR="00B94A12" w14:paraId="156583A5" w14:textId="77777777" w:rsidTr="008848E3">
        <w:tc>
          <w:tcPr>
            <w:tcW w:w="2830" w:type="dxa"/>
          </w:tcPr>
          <w:p w14:paraId="41136479" w14:textId="513649E0" w:rsidR="00B94A12" w:rsidRDefault="00B94A12" w:rsidP="00B94A12">
            <w:r>
              <w:t>Site</w:t>
            </w:r>
          </w:p>
        </w:tc>
        <w:tc>
          <w:tcPr>
            <w:tcW w:w="6186" w:type="dxa"/>
          </w:tcPr>
          <w:p w14:paraId="11F71941" w14:textId="77777777" w:rsidR="00B94A12" w:rsidRDefault="00B94A12" w:rsidP="00B94A12">
            <w:r>
              <w:t xml:space="preserve">Preferred site – Pearson Park. </w:t>
            </w:r>
          </w:p>
          <w:p w14:paraId="4F9096DF" w14:textId="77777777" w:rsidR="00B94A12" w:rsidRDefault="00B94A12" w:rsidP="00B94A12">
            <w:r>
              <w:t xml:space="preserve">Currently pencilled with HCAL.  Conversations being picked up with the Trustees of the Park, Neighbourhood Coordinators and Major Projects to assess whether the HLF works will impact on the suitability of the site – mainly concerning the archway and the vehicle access needed for the rig period.  </w:t>
            </w:r>
          </w:p>
          <w:p w14:paraId="78F8D50E" w14:textId="77777777" w:rsidR="00B94A12" w:rsidRDefault="00B94A12" w:rsidP="00B94A12"/>
          <w:p w14:paraId="7D127770" w14:textId="77777777" w:rsidR="00B94A12" w:rsidRDefault="00B94A12" w:rsidP="00B94A12">
            <w:r>
              <w:t>Alternative site – West Park.</w:t>
            </w:r>
          </w:p>
          <w:p w14:paraId="487CFF8B" w14:textId="77777777" w:rsidR="00B94A12" w:rsidRDefault="00B94A12" w:rsidP="00B94A12">
            <w:r>
              <w:t xml:space="preserve">West Park would work in terms of scale and access.  Enquiry in with HCAL as to availability and impact of any sporting fixtures.  </w:t>
            </w:r>
          </w:p>
          <w:p w14:paraId="7E645B13" w14:textId="77777777" w:rsidR="00B94A12" w:rsidRDefault="00B94A12" w:rsidP="00B94A12"/>
          <w:p w14:paraId="36BCD980" w14:textId="37D0DD22" w:rsidR="0015159C" w:rsidRDefault="0015159C" w:rsidP="00B94A12">
            <w:r>
              <w:t>Confirmation of site may impact on whether an additional licence / amendment to an existing licence is required</w:t>
            </w:r>
            <w:r w:rsidR="00B94A12">
              <w:t xml:space="preserve"> </w:t>
            </w:r>
          </w:p>
          <w:p w14:paraId="20025AE3" w14:textId="001EC01D" w:rsidR="00B94A12" w:rsidRDefault="00B94A12" w:rsidP="00B94A12"/>
        </w:tc>
      </w:tr>
      <w:tr w:rsidR="00B94A12" w14:paraId="65C642F1" w14:textId="77777777" w:rsidTr="008848E3">
        <w:tc>
          <w:tcPr>
            <w:tcW w:w="2830" w:type="dxa"/>
          </w:tcPr>
          <w:p w14:paraId="569FB0E9" w14:textId="69C278AA" w:rsidR="00B94A12" w:rsidRDefault="00B94A12" w:rsidP="00B94A12">
            <w:r>
              <w:t>Ticketed / non-ticketed</w:t>
            </w:r>
          </w:p>
          <w:p w14:paraId="4CD13479" w14:textId="77777777" w:rsidR="00B94A12" w:rsidRDefault="00B94A12" w:rsidP="00B94A12"/>
          <w:p w14:paraId="58413BB6" w14:textId="4752C15F" w:rsidR="00B94A12" w:rsidRDefault="00B94A12" w:rsidP="00B94A12"/>
        </w:tc>
        <w:tc>
          <w:tcPr>
            <w:tcW w:w="6186" w:type="dxa"/>
          </w:tcPr>
          <w:p w14:paraId="57731012" w14:textId="692E7F93" w:rsidR="00B94A12" w:rsidRDefault="00B94A12" w:rsidP="00B94A12">
            <w:r>
              <w:t xml:space="preserve">Current thinking is not to ticket the event.  There is a large capacity and if communicated about correctly, the standing crowd will be self-regulating, i.e. if there are too many people to see then they will move on – particularly if it is held in an area where there are other amenities close by such as the bars and restaurants of Princes Avenue.  </w:t>
            </w:r>
          </w:p>
          <w:p w14:paraId="4E0C403E" w14:textId="77777777" w:rsidR="00B94A12" w:rsidRDefault="00B94A12" w:rsidP="00B94A12"/>
          <w:p w14:paraId="1732963A" w14:textId="15891050" w:rsidR="00B94A12" w:rsidRDefault="00B94A12" w:rsidP="00B94A12">
            <w:r>
              <w:lastRenderedPageBreak/>
              <w:t xml:space="preserve">However, all options are under review – particularly as the site is not finalised - and we are drawing on the learnings from both Place des Anges (free tickets) and 7 Alleys (non ticketed) which were under the same Executive Producer and Production Team as this project.  </w:t>
            </w:r>
            <w:bookmarkStart w:id="0" w:name="_GoBack"/>
            <w:bookmarkEnd w:id="0"/>
          </w:p>
          <w:p w14:paraId="17CA8B52" w14:textId="77777777" w:rsidR="00B94A12" w:rsidRDefault="00B94A12" w:rsidP="00B94A12"/>
          <w:p w14:paraId="7B99AEC9" w14:textId="77777777" w:rsidR="00B94A12" w:rsidRDefault="00B94A12" w:rsidP="00B94A12">
            <w:r>
              <w:t xml:space="preserve">Whichever decision is taken, an appropriate communication plan will be implemented to help to control audience numbers and provide the requisite information in a timely fashion.  </w:t>
            </w:r>
          </w:p>
          <w:p w14:paraId="599C8C7B" w14:textId="3895E6C2" w:rsidR="00B94A12" w:rsidRDefault="00B94A12" w:rsidP="00B94A12">
            <w:r>
              <w:t xml:space="preserve"> </w:t>
            </w:r>
          </w:p>
        </w:tc>
      </w:tr>
      <w:tr w:rsidR="00B94A12" w14:paraId="3CA74C34" w14:textId="77777777" w:rsidTr="008848E3">
        <w:tc>
          <w:tcPr>
            <w:tcW w:w="2830" w:type="dxa"/>
          </w:tcPr>
          <w:p w14:paraId="5ADBEE88" w14:textId="10A18E36" w:rsidR="00B94A12" w:rsidRDefault="00B94A12" w:rsidP="00B94A12">
            <w:r>
              <w:lastRenderedPageBreak/>
              <w:t xml:space="preserve">Production </w:t>
            </w:r>
            <w:r w:rsidR="0015159C">
              <w:t>get-in / get-out</w:t>
            </w:r>
          </w:p>
        </w:tc>
        <w:tc>
          <w:tcPr>
            <w:tcW w:w="6186" w:type="dxa"/>
          </w:tcPr>
          <w:p w14:paraId="3038891D" w14:textId="64DEEBFF" w:rsidR="0015159C" w:rsidRDefault="00B94A12" w:rsidP="00B94A12">
            <w:r>
              <w:t>Approximately 5 days before show day 1 and 2 days a</w:t>
            </w:r>
            <w:r w:rsidR="0015159C">
              <w:t>fter show day 2.</w:t>
            </w:r>
          </w:p>
          <w:p w14:paraId="2DCA157E" w14:textId="49E6A443" w:rsidR="00B94A12" w:rsidRDefault="00B94A12" w:rsidP="00B94A12"/>
        </w:tc>
      </w:tr>
      <w:tr w:rsidR="00B94A12" w14:paraId="24EB166A" w14:textId="77777777" w:rsidTr="008848E3">
        <w:tc>
          <w:tcPr>
            <w:tcW w:w="2830" w:type="dxa"/>
          </w:tcPr>
          <w:p w14:paraId="79234107" w14:textId="4DE7E28A" w:rsidR="00B94A12" w:rsidRDefault="0015159C" w:rsidP="00B94A12">
            <w:r>
              <w:t xml:space="preserve">Other considerations to be addressed at the next stage </w:t>
            </w:r>
          </w:p>
        </w:tc>
        <w:tc>
          <w:tcPr>
            <w:tcW w:w="6186" w:type="dxa"/>
          </w:tcPr>
          <w:p w14:paraId="3448F3C5" w14:textId="62C03951" w:rsidR="0015159C" w:rsidRDefault="0015159C" w:rsidP="0015159C">
            <w:pPr>
              <w:pStyle w:val="ListParagraph"/>
              <w:numPr>
                <w:ilvl w:val="0"/>
                <w:numId w:val="2"/>
              </w:numPr>
            </w:pPr>
            <w:r>
              <w:t>Confirmation of site</w:t>
            </w:r>
          </w:p>
          <w:p w14:paraId="0363BBB6" w14:textId="0EFACA19" w:rsidR="0015159C" w:rsidRDefault="0015159C" w:rsidP="0015159C">
            <w:pPr>
              <w:pStyle w:val="ListParagraph"/>
              <w:numPr>
                <w:ilvl w:val="0"/>
                <w:numId w:val="2"/>
              </w:numPr>
            </w:pPr>
            <w:r>
              <w:t>Confirmation of licencing requirements</w:t>
            </w:r>
          </w:p>
          <w:p w14:paraId="19348BD5" w14:textId="77777777" w:rsidR="0015159C" w:rsidRDefault="0015159C" w:rsidP="0015159C">
            <w:pPr>
              <w:pStyle w:val="ListParagraph"/>
              <w:numPr>
                <w:ilvl w:val="0"/>
                <w:numId w:val="2"/>
              </w:numPr>
            </w:pPr>
            <w:r>
              <w:t>Ticketed / not-ticketed</w:t>
            </w:r>
          </w:p>
          <w:p w14:paraId="65CE2787" w14:textId="2EA9CDE4" w:rsidR="0015159C" w:rsidRDefault="0015159C" w:rsidP="0015159C">
            <w:pPr>
              <w:pStyle w:val="ListParagraph"/>
              <w:numPr>
                <w:ilvl w:val="0"/>
                <w:numId w:val="2"/>
              </w:numPr>
            </w:pPr>
            <w:r>
              <w:t>Resident notification / disruption</w:t>
            </w:r>
          </w:p>
          <w:p w14:paraId="2583F5DB" w14:textId="77777777" w:rsidR="0015159C" w:rsidRDefault="0015159C" w:rsidP="0015159C">
            <w:pPr>
              <w:pStyle w:val="ListParagraph"/>
              <w:numPr>
                <w:ilvl w:val="0"/>
                <w:numId w:val="2"/>
              </w:numPr>
            </w:pPr>
            <w:r>
              <w:t xml:space="preserve">Parking / public transport considerations </w:t>
            </w:r>
          </w:p>
          <w:p w14:paraId="47FBCE3C" w14:textId="77777777" w:rsidR="0015159C" w:rsidRDefault="0015159C" w:rsidP="0015159C">
            <w:pPr>
              <w:pStyle w:val="ListParagraph"/>
              <w:numPr>
                <w:ilvl w:val="0"/>
                <w:numId w:val="2"/>
              </w:numPr>
            </w:pPr>
            <w:r>
              <w:t xml:space="preserve">Audience management </w:t>
            </w:r>
          </w:p>
          <w:p w14:paraId="543AF767" w14:textId="29041151" w:rsidR="0015159C" w:rsidRDefault="0015159C" w:rsidP="0015159C">
            <w:pPr>
              <w:pStyle w:val="ListParagraph"/>
              <w:numPr>
                <w:ilvl w:val="0"/>
                <w:numId w:val="2"/>
              </w:numPr>
            </w:pPr>
            <w:r>
              <w:t>Minimising impact on the site</w:t>
            </w:r>
            <w:r>
              <w:t xml:space="preserve"> / other environmental concerns</w:t>
            </w:r>
          </w:p>
          <w:p w14:paraId="58829716" w14:textId="3A1B66C4" w:rsidR="00B94A12" w:rsidRDefault="00B94A12" w:rsidP="0015159C">
            <w:pPr>
              <w:pStyle w:val="ListParagraph"/>
            </w:pPr>
          </w:p>
        </w:tc>
      </w:tr>
      <w:tr w:rsidR="00B94A12" w14:paraId="08D3E229" w14:textId="77777777" w:rsidTr="008848E3">
        <w:tc>
          <w:tcPr>
            <w:tcW w:w="2830" w:type="dxa"/>
          </w:tcPr>
          <w:p w14:paraId="69C797CD" w14:textId="115088BC" w:rsidR="00B94A12" w:rsidRDefault="0015159C" w:rsidP="00B94A12">
            <w:r>
              <w:t>EMP and RAMS</w:t>
            </w:r>
          </w:p>
        </w:tc>
        <w:tc>
          <w:tcPr>
            <w:tcW w:w="6186" w:type="dxa"/>
          </w:tcPr>
          <w:p w14:paraId="0ED4758D" w14:textId="77777777" w:rsidR="0015159C" w:rsidRDefault="0015159C" w:rsidP="00B94A12">
            <w:r>
              <w:t>Full documents to be circulated in advance of the next ESAG meeting on 13</w:t>
            </w:r>
            <w:r w:rsidRPr="0015159C">
              <w:rPr>
                <w:vertAlign w:val="superscript"/>
              </w:rPr>
              <w:t>th</w:t>
            </w:r>
            <w:r>
              <w:t xml:space="preserve"> July, following a detailed site visit.</w:t>
            </w:r>
          </w:p>
          <w:p w14:paraId="291795A0" w14:textId="096F531F" w:rsidR="00B94A12" w:rsidRDefault="0015159C" w:rsidP="00B94A12">
            <w:r>
              <w:t xml:space="preserve">  </w:t>
            </w:r>
          </w:p>
        </w:tc>
      </w:tr>
    </w:tbl>
    <w:p w14:paraId="5F9B83BB" w14:textId="77777777" w:rsidR="008848E3" w:rsidRDefault="008848E3"/>
    <w:sectPr w:rsidR="008848E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D1B48" w14:textId="77777777" w:rsidR="0015159C" w:rsidRDefault="0015159C" w:rsidP="0015159C">
      <w:pPr>
        <w:spacing w:after="0" w:line="240" w:lineRule="auto"/>
      </w:pPr>
      <w:r>
        <w:separator/>
      </w:r>
    </w:p>
  </w:endnote>
  <w:endnote w:type="continuationSeparator" w:id="0">
    <w:p w14:paraId="40127C61" w14:textId="77777777" w:rsidR="0015159C" w:rsidRDefault="0015159C" w:rsidP="00151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6C62" w14:textId="2B022ABD" w:rsidR="0015159C" w:rsidRDefault="0015159C" w:rsidP="0015159C">
    <w:pPr>
      <w:pStyle w:val="Footer"/>
      <w:jc w:val="right"/>
    </w:pPr>
    <w:r>
      <w:t>Katy Fuller, 7</w:t>
    </w:r>
    <w:r w:rsidRPr="0015159C">
      <w:rPr>
        <w:vertAlign w:val="superscript"/>
      </w:rPr>
      <w:t>th</w:t>
    </w:r>
    <w:r>
      <w:t xml:space="preserve"> June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958A1" w14:textId="77777777" w:rsidR="0015159C" w:rsidRDefault="0015159C" w:rsidP="0015159C">
      <w:pPr>
        <w:spacing w:after="0" w:line="240" w:lineRule="auto"/>
      </w:pPr>
      <w:r>
        <w:separator/>
      </w:r>
    </w:p>
  </w:footnote>
  <w:footnote w:type="continuationSeparator" w:id="0">
    <w:p w14:paraId="0B37066A" w14:textId="77777777" w:rsidR="0015159C" w:rsidRDefault="0015159C" w:rsidP="00151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4795"/>
    <w:multiLevelType w:val="hybridMultilevel"/>
    <w:tmpl w:val="D0D2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07678"/>
    <w:multiLevelType w:val="hybridMultilevel"/>
    <w:tmpl w:val="4114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E3"/>
    <w:rsid w:val="0015159C"/>
    <w:rsid w:val="00530C6D"/>
    <w:rsid w:val="005712D3"/>
    <w:rsid w:val="006E22F3"/>
    <w:rsid w:val="00793565"/>
    <w:rsid w:val="008848E3"/>
    <w:rsid w:val="00A11FB9"/>
    <w:rsid w:val="00B24548"/>
    <w:rsid w:val="00B94A12"/>
    <w:rsid w:val="00BC57EA"/>
    <w:rsid w:val="00DA5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80CB"/>
  <w15:chartTrackingRefBased/>
  <w15:docId w15:val="{82EB2170-11FC-472D-B342-531C36C5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EFD"/>
    <w:pPr>
      <w:ind w:left="720"/>
      <w:contextualSpacing/>
    </w:pPr>
  </w:style>
  <w:style w:type="paragraph" w:styleId="Header">
    <w:name w:val="header"/>
    <w:basedOn w:val="Normal"/>
    <w:link w:val="HeaderChar"/>
    <w:uiPriority w:val="99"/>
    <w:unhideWhenUsed/>
    <w:rsid w:val="00151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59C"/>
  </w:style>
  <w:style w:type="paragraph" w:styleId="Footer">
    <w:name w:val="footer"/>
    <w:basedOn w:val="Normal"/>
    <w:link w:val="FooterChar"/>
    <w:uiPriority w:val="99"/>
    <w:unhideWhenUsed/>
    <w:rsid w:val="00151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84C6D8B-035F-4A2B-B9C5-0426B4211DAB}"/>
</file>

<file path=customXml/itemProps2.xml><?xml version="1.0" encoding="utf-8"?>
<ds:datastoreItem xmlns:ds="http://schemas.openxmlformats.org/officeDocument/2006/customXml" ds:itemID="{99951CC6-46A1-4C3A-9321-3CC09EA061F7}">
  <ds:schemaRefs>
    <ds:schemaRef ds:uri="http://schemas.microsoft.com/sharepoint/v3/contenttype/forms"/>
  </ds:schemaRefs>
</ds:datastoreItem>
</file>

<file path=customXml/itemProps3.xml><?xml version="1.0" encoding="utf-8"?>
<ds:datastoreItem xmlns:ds="http://schemas.openxmlformats.org/officeDocument/2006/customXml" ds:itemID="{EF076A85-BFAF-4587-A2BF-313B98F5A0E5}">
  <ds:schemaRefs>
    <ds:schemaRef ds:uri="http://schemas.microsoft.com/office/infopath/2007/PartnerControls"/>
    <ds:schemaRef ds:uri="http://schemas.microsoft.com/office/2006/documentManagement/types"/>
    <ds:schemaRef ds:uri="http://purl.org/dc/elements/1.1/"/>
    <ds:schemaRef ds:uri="80129174-c05c-43cc-8e32-21fcbdfe51bb"/>
    <ds:schemaRef ds:uri="http://www.w3.org/XML/1998/namespace"/>
    <ds:schemaRef ds:uri="http://purl.org/dc/terms/"/>
    <ds:schemaRef ds:uri="http://schemas.openxmlformats.org/package/2006/metadata/core-properties"/>
    <ds:schemaRef ds:uri="958b15ed-c521-4290-b073-2e98d4cc1d7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2</cp:revision>
  <dcterms:created xsi:type="dcterms:W3CDTF">2017-06-07T22:51:00Z</dcterms:created>
  <dcterms:modified xsi:type="dcterms:W3CDTF">2017-06-07T22:51:00Z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