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5114EE0E" w:rsidR="00231ED1" w:rsidRPr="00D808DD" w:rsidRDefault="003F6B3E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WOW Hull: Sold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3843210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6E8786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Screen 4,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Vue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Hull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6DF1BF2E" w:rsidR="00476FAC" w:rsidRPr="00D4631A" w:rsidRDefault="00AF314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2PQ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4A28646E" w:rsidR="00476FAC" w:rsidRPr="00D4631A" w:rsidRDefault="002C6D02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bookmarkStart w:id="0" w:name="_GoBack"/>
            <w:bookmarkEnd w:id="0"/>
            <w:r w:rsidR="00231ED1">
              <w:rPr>
                <w:rFonts w:ascii="Trebuchet MS" w:hAnsi="Trebuchet MS"/>
                <w:sz w:val="20"/>
                <w:szCs w:val="20"/>
              </w:rPr>
              <w:t>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7927E60" w:rsidR="00231ED1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0A0E588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A071F5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F825FE7" w:rsidR="00986D30" w:rsidRPr="00D4631A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7A62C6F" w:rsidR="00BF3B5F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110 (40 on-sale now, 60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7BFADFC" w:rsidR="00BF3B5F" w:rsidRDefault="00A862B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4D03808E" w:rsidR="00476FAC" w:rsidRPr="00D4631A" w:rsidRDefault="00A862B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A67A673" w:rsidR="00476FAC" w:rsidRPr="00D4631A" w:rsidRDefault="00A862B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Production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5693B9C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1207B22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4E17273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91A5169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243C557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5AA53FA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E4A06BF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78F1CBCA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6F23EEB4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0F4C24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8CD9972" w:rsidR="00DC195E" w:rsidRPr="00DE3E9B" w:rsidRDefault="00A862B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4B1D5643" w:rsidR="00DC195E" w:rsidRPr="00DE3E9B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Full Price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0DD4173D" w:rsidR="00DC195E" w:rsidRPr="00DE3E9B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0B1726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E3E9B" w14:paraId="37AA5CE5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3E13BD8E" w14:textId="1DBA8E57" w:rsidR="00A862B5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WOW Wristbands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165BBE5D" w14:textId="3F83361C" w:rsidR="00A862B5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58A2BE17" w14:textId="77777777" w:rsidR="00A862B5" w:rsidRPr="00DE3E9B" w:rsidRDefault="00A862B5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76635D0E" w14:textId="18F36E95" w:rsidR="00A862B5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CF5E715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0AEFA5A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33C733D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C1CEDE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CDFFAED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944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4D74AD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88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44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4D74AD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525682D2" w:rsidR="00DE3E9B" w:rsidRPr="00DE3E9B" w:rsidRDefault="004D74AD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231ED1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88" w:type="dxa"/>
            <w:shd w:val="clear" w:color="auto" w:fill="E3E2E2" w:themeFill="background2" w:themeFillTint="66"/>
            <w:vAlign w:val="center"/>
          </w:tcPr>
          <w:p w14:paraId="21074825" w14:textId="65E75E3C" w:rsidR="00DE3E9B" w:rsidRPr="00DE3E9B" w:rsidRDefault="004D74AD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AF3149">
              <w:rPr>
                <w:rFonts w:ascii="Trebuchet MS" w:hAnsi="Trebuchet MS"/>
                <w:sz w:val="20"/>
                <w:szCs w:val="20"/>
              </w:rPr>
              <w:t>.30am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2F6785CA" w14:textId="1BB1C6A2" w:rsidR="00DE3E9B" w:rsidRPr="00DE3E9B" w:rsidRDefault="004D74AD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5D5184C9" w:rsidR="00DE3E9B" w:rsidRPr="00DE3E9B" w:rsidRDefault="002C6D02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2.10</w:t>
            </w:r>
            <w:r w:rsidR="004D74AD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595A5D5" w:rsidR="00DE3E9B" w:rsidRPr="00DE3E9B" w:rsidRDefault="00A862B5" w:rsidP="00231E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9079DCA" w:rsidR="00DF0BF2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143D3E2E" w:rsidR="00DC195E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0A0D7C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04CA15D" w14:textId="0A46D21A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 Hub North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6D73312" w14:textId="59F6E072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Anna Plant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08CEFB8E" w14:textId="71354DC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7952B0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641181D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E042F16" w14:textId="1284961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Showroom Workstation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18F47BD" w14:textId="6F0D6DAC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Joan Parsons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C01B50" w14:textId="24F5B385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4E4BD5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4D74AD">
        <w:trPr>
          <w:trHeight w:val="13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01943E89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9F55EE7" w14:textId="2B0C98E0" w:rsidR="00AF3149" w:rsidRDefault="002C6D02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Certificate: TBC</w:t>
            </w:r>
          </w:p>
          <w:p w14:paraId="40F3CF17" w14:textId="77777777" w:rsidR="00AF3149" w:rsidRDefault="00AF314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2778CDF3" w14:textId="77777777" w:rsidR="00AF3149" w:rsidRDefault="00AF314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  <w:p w14:paraId="7D60B1DC" w14:textId="77777777" w:rsidR="00A862B5" w:rsidRDefault="004D74A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Starring Gillian Anderson and with Emma Thompson as executive producer, SOLD tells the story of Lakshmi, a 13-year-old Nepali girl sold to a brothel in India. An extraordinary tale of survival that inspires the audience to take a stand. Followed by a Q&amp;A with Dan Ashcroft</w:t>
            </w:r>
            <w:r w:rsidR="00C83216">
              <w:rPr>
                <w:rFonts w:ascii="Trebuchet MS" w:hAnsi="Trebuchet MS"/>
                <w:sz w:val="20"/>
                <w:szCs w:val="20"/>
              </w:rPr>
              <w:t xml:space="preserve"> from Child Reach International. </w:t>
            </w:r>
          </w:p>
          <w:p w14:paraId="2F2FB9C1" w14:textId="77777777" w:rsidR="00C83216" w:rsidRDefault="00C8321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8F20A2" w14:textId="54F5EC7E" w:rsidR="00C83216" w:rsidRDefault="00C8321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Supported British Film Institute.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81227" w14:textId="77777777" w:rsidR="00A90076" w:rsidRDefault="00A90076" w:rsidP="00AF2B08">
      <w:r>
        <w:separator/>
      </w:r>
    </w:p>
  </w:endnote>
  <w:endnote w:type="continuationSeparator" w:id="0">
    <w:p w14:paraId="566A1D37" w14:textId="77777777" w:rsidR="00A90076" w:rsidRDefault="00A9007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ED901" w14:textId="77777777" w:rsidR="00A90076" w:rsidRDefault="00A90076" w:rsidP="00AF2B08">
      <w:r>
        <w:separator/>
      </w:r>
    </w:p>
  </w:footnote>
  <w:footnote w:type="continuationSeparator" w:id="0">
    <w:p w14:paraId="4F6C1CBD" w14:textId="77777777" w:rsidR="00A90076" w:rsidRDefault="00A9007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31ED1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C6D02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3F6B3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D74AD"/>
    <w:rsid w:val="004F3632"/>
    <w:rsid w:val="005153C9"/>
    <w:rsid w:val="0052482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62B5"/>
    <w:rsid w:val="00A90076"/>
    <w:rsid w:val="00A95DFB"/>
    <w:rsid w:val="00AC4A72"/>
    <w:rsid w:val="00AE3F46"/>
    <w:rsid w:val="00AE6425"/>
    <w:rsid w:val="00AF2B08"/>
    <w:rsid w:val="00AF3149"/>
    <w:rsid w:val="00B05657"/>
    <w:rsid w:val="00B10A38"/>
    <w:rsid w:val="00B1197E"/>
    <w:rsid w:val="00B12087"/>
    <w:rsid w:val="00B253A7"/>
    <w:rsid w:val="00B257EF"/>
    <w:rsid w:val="00B3017B"/>
    <w:rsid w:val="00B6033D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83216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7017C-DA59-449F-9104-D347B0F4A016}"/>
</file>

<file path=customXml/itemProps4.xml><?xml version="1.0" encoding="utf-8"?>
<ds:datastoreItem xmlns:ds="http://schemas.openxmlformats.org/officeDocument/2006/customXml" ds:itemID="{FD176259-249B-41A3-A4A3-F06D917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cp:lastPrinted>2016-05-17T09:28:00Z</cp:lastPrinted>
  <dcterms:created xsi:type="dcterms:W3CDTF">2017-02-09T16:27:00Z</dcterms:created>
  <dcterms:modified xsi:type="dcterms:W3CDTF">2017-02-09T16:50:00Z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