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CF321" w14:textId="77777777" w:rsidR="006473EC" w:rsidRPr="006473EC" w:rsidRDefault="006473EC" w:rsidP="006473EC">
      <w:pPr>
        <w:pStyle w:val="NormalWeb"/>
        <w:jc w:val="center"/>
        <w:rPr>
          <w:rFonts w:ascii="Trebuchet MS" w:hAnsi="Trebuchet MS"/>
          <w:b/>
          <w:color w:val="000000"/>
          <w:sz w:val="28"/>
          <w:szCs w:val="28"/>
        </w:rPr>
      </w:pPr>
      <w:r w:rsidRPr="006473EC">
        <w:rPr>
          <w:rFonts w:ascii="Trebuchet MS" w:hAnsi="Trebuchet MS"/>
          <w:b/>
          <w:color w:val="000000"/>
          <w:sz w:val="28"/>
          <w:szCs w:val="28"/>
        </w:rPr>
        <w:t>Land of Green Ginger</w:t>
      </w:r>
      <w:r w:rsidRPr="006473EC">
        <w:rPr>
          <w:rFonts w:ascii="Trebuchet MS" w:hAnsi="Trebuchet MS"/>
          <w:b/>
          <w:color w:val="000000"/>
          <w:sz w:val="28"/>
          <w:szCs w:val="28"/>
        </w:rPr>
        <w:t>,</w:t>
      </w:r>
      <w:r w:rsidRPr="006473EC">
        <w:rPr>
          <w:rFonts w:ascii="Trebuchet MS" w:hAnsi="Trebuchet MS"/>
          <w:b/>
          <w:color w:val="000000"/>
          <w:sz w:val="28"/>
          <w:szCs w:val="28"/>
        </w:rPr>
        <w:t xml:space="preserve"> Act V: </w:t>
      </w:r>
      <w:proofErr w:type="spellStart"/>
      <w:r w:rsidRPr="006473EC">
        <w:rPr>
          <w:rFonts w:ascii="Trebuchet MS" w:hAnsi="Trebuchet MS"/>
          <w:b/>
          <w:color w:val="000000"/>
          <w:sz w:val="28"/>
          <w:szCs w:val="28"/>
        </w:rPr>
        <w:t>Micropolis</w:t>
      </w:r>
      <w:proofErr w:type="spellEnd"/>
    </w:p>
    <w:p w14:paraId="58B84002" w14:textId="77777777" w:rsidR="006473EC" w:rsidRPr="006473EC" w:rsidRDefault="006473EC" w:rsidP="006473EC">
      <w:pPr>
        <w:pStyle w:val="NormalWeb"/>
        <w:jc w:val="center"/>
        <w:rPr>
          <w:rFonts w:ascii="Trebuchet MS" w:hAnsi="Trebuchet MS"/>
          <w:b/>
          <w:color w:val="000000"/>
          <w:sz w:val="28"/>
          <w:szCs w:val="28"/>
        </w:rPr>
      </w:pPr>
      <w:r w:rsidRPr="006473EC">
        <w:rPr>
          <w:rFonts w:ascii="Trebuchet MS" w:hAnsi="Trebuchet MS"/>
          <w:b/>
          <w:color w:val="000000"/>
          <w:sz w:val="28"/>
          <w:szCs w:val="28"/>
        </w:rPr>
        <w:t>Volunteer Briefing</w:t>
      </w:r>
      <w:r w:rsidRPr="006473EC">
        <w:rPr>
          <w:rFonts w:ascii="Trebuchet MS" w:hAnsi="Trebuchet MS"/>
          <w:b/>
          <w:color w:val="000000"/>
          <w:sz w:val="28"/>
          <w:szCs w:val="28"/>
        </w:rPr>
        <w:t xml:space="preserve"> </w:t>
      </w:r>
      <w:r w:rsidRPr="006473EC">
        <w:rPr>
          <w:rFonts w:ascii="Trebuchet MS" w:hAnsi="Trebuchet MS"/>
          <w:b/>
          <w:color w:val="000000"/>
          <w:sz w:val="28"/>
          <w:szCs w:val="28"/>
        </w:rPr>
        <w:t>Document</w:t>
      </w:r>
    </w:p>
    <w:p w14:paraId="2F7C72DB" w14:textId="77777777" w:rsidR="006473EC" w:rsidRPr="006473EC" w:rsidRDefault="006473EC" w:rsidP="006473EC">
      <w:pPr>
        <w:pStyle w:val="NormalWeb"/>
        <w:rPr>
          <w:rFonts w:ascii="Trebuchet MS" w:hAnsi="Trebuchet MS"/>
          <w:color w:val="000000"/>
          <w:sz w:val="27"/>
          <w:szCs w:val="27"/>
        </w:rPr>
      </w:pPr>
      <w:r w:rsidRPr="006473EC">
        <w:rPr>
          <w:rFonts w:ascii="Trebuchet MS" w:hAnsi="Trebuchet MS"/>
          <w:color w:val="000000"/>
          <w:sz w:val="27"/>
          <w:szCs w:val="27"/>
        </w:rPr>
        <w:t>Land of Green Ginger</w:t>
      </w:r>
    </w:p>
    <w:p w14:paraId="544F0523" w14:textId="77777777" w:rsidR="006473EC" w:rsidRPr="006473EC" w:rsidRDefault="006473EC" w:rsidP="006473EC">
      <w:pPr>
        <w:pStyle w:val="NormalWeb"/>
        <w:rPr>
          <w:rFonts w:ascii="Trebuchet MS" w:hAnsi="Trebuchet MS"/>
          <w:color w:val="000000"/>
        </w:rPr>
      </w:pPr>
      <w:hyperlink r:id="rId8" w:history="1">
        <w:r w:rsidRPr="006473EC">
          <w:rPr>
            <w:rStyle w:val="Hyperlink"/>
            <w:rFonts w:ascii="Trebuchet MS" w:hAnsi="Trebuchet MS"/>
          </w:rPr>
          <w:t>Land of Green Ginger</w:t>
        </w:r>
      </w:hyperlink>
      <w:r w:rsidRPr="006473EC">
        <w:rPr>
          <w:rFonts w:ascii="Trebuchet MS" w:hAnsi="Trebuchet MS"/>
          <w:color w:val="000000"/>
        </w:rPr>
        <w:t xml:space="preserve"> is at its heart a large-scale community engagement project created by Hull City of Culture 2017. Since April 2017, Land of Green Ginger has delivered world-class arts to communities outside of Hull City centre.</w:t>
      </w:r>
    </w:p>
    <w:p w14:paraId="7684F7CA"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Presented as a series of Acts of Wanton Wonder, Land of Green Ginger takes place across the city, throughout the year. It infiltrates communities, surprising and delighting residents and leaving them with a lasting sense of awe and wonder.</w:t>
      </w:r>
    </w:p>
    <w:p w14:paraId="6622E5AF"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Land of Green Ginger has six distinct projects, all of which have their own identity, and are acutely different to one another. However, the project is held together by an overarching narrative, which is delivered by a fictional organization called The Green Ginger Fellowship. Through their investigations, The Green Ginger Fellowship have been integral to the appearance of the Acts of Wanton Wonder, calling on their followers for help to decipher clues and inviting them to experience each Act.</w:t>
      </w:r>
    </w:p>
    <w:p w14:paraId="63D25A97"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The marketing for each project has also been very different, but a number of themes run through each in order to hold the Land of Green Ginger narrative throughout.</w:t>
      </w:r>
    </w:p>
    <w:p w14:paraId="17EA41E7" w14:textId="77777777" w:rsidR="006473EC" w:rsidRPr="006473EC" w:rsidRDefault="006473EC" w:rsidP="006473EC">
      <w:pPr>
        <w:pStyle w:val="NormalWeb"/>
        <w:rPr>
          <w:rFonts w:ascii="Trebuchet MS" w:hAnsi="Trebuchet MS"/>
          <w:color w:val="000000"/>
          <w:sz w:val="27"/>
          <w:szCs w:val="27"/>
        </w:rPr>
      </w:pPr>
      <w:r w:rsidRPr="006473EC">
        <w:rPr>
          <w:rFonts w:ascii="Trebuchet MS" w:hAnsi="Trebuchet MS"/>
          <w:color w:val="000000"/>
          <w:sz w:val="27"/>
          <w:szCs w:val="27"/>
        </w:rPr>
        <w:t xml:space="preserve">Act V: </w:t>
      </w:r>
      <w:proofErr w:type="spellStart"/>
      <w:r w:rsidRPr="006473EC">
        <w:rPr>
          <w:rFonts w:ascii="Trebuchet MS" w:hAnsi="Trebuchet MS"/>
          <w:color w:val="000000"/>
          <w:sz w:val="27"/>
          <w:szCs w:val="27"/>
        </w:rPr>
        <w:t>Micropolis</w:t>
      </w:r>
      <w:proofErr w:type="spellEnd"/>
    </w:p>
    <w:p w14:paraId="10EEF5BD" w14:textId="77777777" w:rsidR="006473EC" w:rsidRPr="006473EC" w:rsidRDefault="006473EC" w:rsidP="006473EC">
      <w:pPr>
        <w:pStyle w:val="NormalWeb"/>
        <w:rPr>
          <w:rFonts w:ascii="Trebuchet MS" w:hAnsi="Trebuchet MS"/>
          <w:color w:val="000000"/>
        </w:rPr>
      </w:pPr>
      <w:proofErr w:type="spellStart"/>
      <w:r w:rsidRPr="006473EC">
        <w:rPr>
          <w:rFonts w:ascii="Trebuchet MS" w:hAnsi="Trebuchet MS"/>
          <w:color w:val="000000"/>
        </w:rPr>
        <w:t>Micropolis</w:t>
      </w:r>
      <w:proofErr w:type="spellEnd"/>
      <w:r w:rsidRPr="006473EC">
        <w:rPr>
          <w:rFonts w:ascii="Trebuchet MS" w:hAnsi="Trebuchet MS"/>
          <w:color w:val="000000"/>
        </w:rPr>
        <w:t xml:space="preserve"> by Davy and Kristin McGuire </w:t>
      </w:r>
      <w:r>
        <w:rPr>
          <w:rFonts w:ascii="Trebuchet MS" w:hAnsi="Trebuchet MS"/>
          <w:color w:val="000000"/>
        </w:rPr>
        <w:t>is t</w:t>
      </w:r>
      <w:r w:rsidRPr="006473EC">
        <w:rPr>
          <w:rFonts w:ascii="Trebuchet MS" w:hAnsi="Trebuchet MS"/>
          <w:color w:val="000000"/>
        </w:rPr>
        <w:t>he fifth Act of Wanton Wonder in the Land of Green Ginger series.</w:t>
      </w:r>
    </w:p>
    <w:p w14:paraId="3A561DB1"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Davy and Kristin’s hybrid art works are delicate, filigree fantasies built with fragile materials that are momentarily brought to life through digital projections and silent storytelling.</w:t>
      </w:r>
    </w:p>
    <w:p w14:paraId="14BDD476" w14:textId="77777777" w:rsidR="006473EC" w:rsidRPr="006473EC" w:rsidRDefault="006473EC" w:rsidP="006473EC">
      <w:pPr>
        <w:pStyle w:val="NormalWeb"/>
        <w:rPr>
          <w:rFonts w:ascii="Trebuchet MS" w:hAnsi="Trebuchet MS"/>
          <w:color w:val="000000"/>
        </w:rPr>
      </w:pPr>
      <w:proofErr w:type="spellStart"/>
      <w:r w:rsidRPr="006473EC">
        <w:rPr>
          <w:rFonts w:ascii="Trebuchet MS" w:hAnsi="Trebuchet MS"/>
          <w:color w:val="000000"/>
        </w:rPr>
        <w:t>Micropolis</w:t>
      </w:r>
      <w:proofErr w:type="spellEnd"/>
      <w:r w:rsidRPr="006473EC">
        <w:rPr>
          <w:rFonts w:ascii="Trebuchet MS" w:hAnsi="Trebuchet MS"/>
          <w:color w:val="000000"/>
        </w:rPr>
        <w:t xml:space="preserve"> </w:t>
      </w:r>
      <w:r>
        <w:rPr>
          <w:rFonts w:ascii="Trebuchet MS" w:hAnsi="Trebuchet MS"/>
          <w:color w:val="000000"/>
        </w:rPr>
        <w:t>is</w:t>
      </w:r>
      <w:r w:rsidRPr="006473EC">
        <w:rPr>
          <w:rFonts w:ascii="Trebuchet MS" w:hAnsi="Trebuchet MS"/>
          <w:color w:val="000000"/>
        </w:rPr>
        <w:t xml:space="preserve"> a celebration of human ingenuity, survival and spirit.</w:t>
      </w:r>
    </w:p>
    <w:p w14:paraId="518C7F71"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Inside Springhead Pumping Station, a giant spectacular city made of laser-cut cardboard boxes will be created, housing a city full of tiny people. Each cardboard building will be unique, including skyscrapers, homes, shop fronts, bard and gardens.</w:t>
      </w:r>
    </w:p>
    <w:p w14:paraId="16020452" w14:textId="77777777" w:rsidR="006473EC" w:rsidRDefault="006473EC" w:rsidP="006473EC">
      <w:pPr>
        <w:pStyle w:val="NormalWeb"/>
        <w:rPr>
          <w:rFonts w:ascii="Trebuchet MS" w:hAnsi="Trebuchet MS"/>
          <w:color w:val="000000"/>
        </w:rPr>
      </w:pPr>
      <w:r w:rsidRPr="006473EC">
        <w:rPr>
          <w:rFonts w:ascii="Trebuchet MS" w:hAnsi="Trebuchet MS"/>
          <w:color w:val="000000"/>
        </w:rPr>
        <w:t>Projection will be used to fill the city with miniature people and to breathe life into otherwise inanimate objects. These include projection mapped vignettes placed</w:t>
      </w:r>
      <w:r>
        <w:rPr>
          <w:rFonts w:ascii="Trebuchet MS" w:hAnsi="Trebuchet MS"/>
          <w:color w:val="000000"/>
        </w:rPr>
        <w:t xml:space="preserve"> </w:t>
      </w:r>
      <w:r w:rsidRPr="006473EC">
        <w:rPr>
          <w:rFonts w:ascii="Trebuchet MS" w:hAnsi="Trebuchet MS"/>
          <w:color w:val="000000"/>
        </w:rPr>
        <w:t xml:space="preserve">through the city, as well as simpler projected footage of crowds. </w:t>
      </w:r>
    </w:p>
    <w:p w14:paraId="666C7156"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 xml:space="preserve">Cardboard City </w:t>
      </w:r>
      <w:r>
        <w:rPr>
          <w:rFonts w:ascii="Trebuchet MS" w:hAnsi="Trebuchet MS"/>
          <w:color w:val="000000"/>
        </w:rPr>
        <w:t>is</w:t>
      </w:r>
      <w:r w:rsidRPr="006473EC">
        <w:rPr>
          <w:rFonts w:ascii="Trebuchet MS" w:hAnsi="Trebuchet MS"/>
          <w:color w:val="000000"/>
        </w:rPr>
        <w:t xml:space="preserve"> animated in many ways: lighting cardboard silhouettes behind windows, using domestic lights, LEDs and fairy lights, sound compositions and possibly smoke to create a city that feels populated and vibrant.</w:t>
      </w:r>
    </w:p>
    <w:p w14:paraId="6944EF3E"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lastRenderedPageBreak/>
        <w:t>Springhead Pumping Station has been closed to the public for years. This project invite</w:t>
      </w:r>
      <w:r>
        <w:rPr>
          <w:rFonts w:ascii="Trebuchet MS" w:hAnsi="Trebuchet MS"/>
          <w:color w:val="000000"/>
        </w:rPr>
        <w:t>s</w:t>
      </w:r>
      <w:r w:rsidRPr="006473EC">
        <w:rPr>
          <w:rFonts w:ascii="Trebuchet MS" w:hAnsi="Trebuchet MS"/>
          <w:color w:val="000000"/>
        </w:rPr>
        <w:t xml:space="preserve"> audiences inside, and in the weeks preceding its opening a light </w:t>
      </w:r>
      <w:r>
        <w:rPr>
          <w:rFonts w:ascii="Trebuchet MS" w:hAnsi="Trebuchet MS"/>
          <w:color w:val="000000"/>
        </w:rPr>
        <w:t>was</w:t>
      </w:r>
      <w:r w:rsidRPr="006473EC">
        <w:rPr>
          <w:rFonts w:ascii="Trebuchet MS" w:hAnsi="Trebuchet MS"/>
          <w:color w:val="000000"/>
        </w:rPr>
        <w:t xml:space="preserve"> installed in the tower, indicating the heralding of this Act of Wanton Wonder.</w:t>
      </w:r>
    </w:p>
    <w:p w14:paraId="149B1928" w14:textId="77777777" w:rsidR="006473EC" w:rsidRDefault="006473EC" w:rsidP="006473EC">
      <w:pPr>
        <w:pStyle w:val="NormalWeb"/>
        <w:rPr>
          <w:rFonts w:ascii="Trebuchet MS" w:hAnsi="Trebuchet MS"/>
          <w:color w:val="000000"/>
        </w:rPr>
      </w:pPr>
      <w:r w:rsidRPr="006473EC">
        <w:rPr>
          <w:rFonts w:ascii="Trebuchet MS" w:hAnsi="Trebuchet MS"/>
          <w:color w:val="000000"/>
        </w:rPr>
        <w:t xml:space="preserve">Audiences from the local area </w:t>
      </w:r>
      <w:r>
        <w:rPr>
          <w:rFonts w:ascii="Trebuchet MS" w:hAnsi="Trebuchet MS"/>
          <w:color w:val="000000"/>
        </w:rPr>
        <w:t>have been</w:t>
      </w:r>
      <w:r w:rsidRPr="006473EC">
        <w:rPr>
          <w:rFonts w:ascii="Trebuchet MS" w:hAnsi="Trebuchet MS"/>
          <w:color w:val="000000"/>
        </w:rPr>
        <w:t xml:space="preserve"> invited to visit </w:t>
      </w:r>
      <w:proofErr w:type="spellStart"/>
      <w:r w:rsidRPr="006473EC">
        <w:rPr>
          <w:rFonts w:ascii="Trebuchet MS" w:hAnsi="Trebuchet MS"/>
          <w:color w:val="000000"/>
        </w:rPr>
        <w:t>Micropolis</w:t>
      </w:r>
      <w:proofErr w:type="spellEnd"/>
      <w:r w:rsidRPr="006473EC">
        <w:rPr>
          <w:rFonts w:ascii="Trebuchet MS" w:hAnsi="Trebuchet MS"/>
          <w:color w:val="000000"/>
        </w:rPr>
        <w:t xml:space="preserve"> from Saturday 21 October until Sunday 5 November. The audience will enter Springhead Pumping Station and be immersed in a maze of cardboard buildings; peeking into windows to see tiny people going about their lives. They will see a</w:t>
      </w:r>
      <w:r>
        <w:rPr>
          <w:rFonts w:ascii="Trebuchet MS" w:hAnsi="Trebuchet MS"/>
          <w:color w:val="000000"/>
        </w:rPr>
        <w:t xml:space="preserve"> number of specialist vignettes.</w:t>
      </w:r>
    </w:p>
    <w:p w14:paraId="1D20E222" w14:textId="77777777" w:rsidR="006473EC" w:rsidRPr="006473EC" w:rsidRDefault="006473EC" w:rsidP="006473EC">
      <w:pPr>
        <w:pStyle w:val="NormalWeb"/>
        <w:rPr>
          <w:rFonts w:ascii="Trebuchet MS" w:hAnsi="Trebuchet MS"/>
          <w:color w:val="000000"/>
          <w:sz w:val="27"/>
          <w:szCs w:val="27"/>
        </w:rPr>
      </w:pPr>
      <w:r>
        <w:rPr>
          <w:rFonts w:ascii="Trebuchet MS" w:hAnsi="Trebuchet MS"/>
          <w:color w:val="000000"/>
          <w:sz w:val="27"/>
          <w:szCs w:val="27"/>
        </w:rPr>
        <w:t>Opening Hours</w:t>
      </w:r>
    </w:p>
    <w:p w14:paraId="118FFA96" w14:textId="77777777" w:rsidR="006473EC" w:rsidRPr="006473EC" w:rsidRDefault="006473EC" w:rsidP="006473EC">
      <w:pPr>
        <w:pStyle w:val="NormalWeb"/>
        <w:rPr>
          <w:rFonts w:ascii="Trebuchet MS" w:hAnsi="Trebuchet MS"/>
          <w:color w:val="000000"/>
        </w:rPr>
      </w:pPr>
      <w:proofErr w:type="spellStart"/>
      <w:r w:rsidRPr="006473EC">
        <w:rPr>
          <w:rFonts w:ascii="Trebuchet MS" w:hAnsi="Trebuchet MS"/>
          <w:color w:val="000000"/>
        </w:rPr>
        <w:t>Micropolis</w:t>
      </w:r>
      <w:proofErr w:type="spellEnd"/>
      <w:r w:rsidRPr="006473EC">
        <w:rPr>
          <w:rFonts w:ascii="Trebuchet MS" w:hAnsi="Trebuchet MS"/>
          <w:color w:val="000000"/>
        </w:rPr>
        <w:t xml:space="preserve"> will be open from Saturday 21 October until Sunday 5 October from 2pm until</w:t>
      </w:r>
      <w:r w:rsidRPr="006473EC">
        <w:rPr>
          <w:rFonts w:ascii="Trebuchet MS" w:hAnsi="Trebuchet MS"/>
          <w:color w:val="000000"/>
        </w:rPr>
        <w:t xml:space="preserve"> last entry at 8:30pm each day.</w:t>
      </w:r>
    </w:p>
    <w:p w14:paraId="5B8D03DD"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There will be an opportunity for a preview for volunteers and key sta</w:t>
      </w:r>
      <w:r w:rsidRPr="006473EC">
        <w:rPr>
          <w:rFonts w:ascii="Trebuchet MS" w:hAnsi="Trebuchet MS"/>
          <w:color w:val="000000"/>
        </w:rPr>
        <w:t>ff at 7pm on Friday 20 October.</w:t>
      </w:r>
    </w:p>
    <w:p w14:paraId="4BDA180A"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Schools break up for half term on Friday 27 October, meaning that the second week of the installation wi</w:t>
      </w:r>
      <w:r w:rsidRPr="006473EC">
        <w:rPr>
          <w:rFonts w:ascii="Trebuchet MS" w:hAnsi="Trebuchet MS"/>
          <w:color w:val="000000"/>
        </w:rPr>
        <w:t>ll take place during half term.</w:t>
      </w:r>
    </w:p>
    <w:p w14:paraId="08D920E9"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British Summer Time also ends on Sunday 29 Octob</w:t>
      </w:r>
      <w:r w:rsidRPr="006473EC">
        <w:rPr>
          <w:rFonts w:ascii="Trebuchet MS" w:hAnsi="Trebuchet MS"/>
          <w:color w:val="000000"/>
        </w:rPr>
        <w:t>er, meaning the clocks go back.</w:t>
      </w:r>
    </w:p>
    <w:p w14:paraId="0CD045FE" w14:textId="77777777" w:rsidR="006473EC" w:rsidRPr="006473EC" w:rsidRDefault="006473EC" w:rsidP="006473EC">
      <w:pPr>
        <w:pStyle w:val="NormalWeb"/>
        <w:rPr>
          <w:rFonts w:ascii="Trebuchet MS" w:hAnsi="Trebuchet MS"/>
          <w:color w:val="000000"/>
          <w:sz w:val="27"/>
          <w:szCs w:val="27"/>
        </w:rPr>
      </w:pPr>
      <w:r>
        <w:rPr>
          <w:rFonts w:ascii="Trebuchet MS" w:hAnsi="Trebuchet MS"/>
          <w:color w:val="000000"/>
          <w:sz w:val="27"/>
          <w:szCs w:val="27"/>
        </w:rPr>
        <w:t>Audience</w:t>
      </w:r>
    </w:p>
    <w:p w14:paraId="2D19CF5B"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The space can comfortably allow for around 50 people arriving roughly every 30 mins. A maximum of 50 people in the building at any one time will give a comfortable audience experience, however at busy periods a maximum capacity will be agreed by the team based on how busy/cramped it feels in the space, and an audience queueing system will be implemented to ensure that the ins</w:t>
      </w:r>
      <w:r w:rsidRPr="006473EC">
        <w:rPr>
          <w:rFonts w:ascii="Trebuchet MS" w:hAnsi="Trebuchet MS"/>
          <w:color w:val="000000"/>
        </w:rPr>
        <w:t>tallation is never overcrowded.</w:t>
      </w:r>
    </w:p>
    <w:p w14:paraId="5234A4BC"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Gareth will investigate parking options near to Springhead Pumping station further and advise on maximum parking facility near the site, in</w:t>
      </w:r>
      <w:r w:rsidRPr="006473EC">
        <w:rPr>
          <w:rFonts w:ascii="Trebuchet MS" w:hAnsi="Trebuchet MS"/>
          <w:color w:val="000000"/>
        </w:rPr>
        <w:t>cluding for blue badge holders.</w:t>
      </w:r>
    </w:p>
    <w:p w14:paraId="48A08F7F"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In order to get a picture of potential audience numbers, the public will be encouraged to register their interest or their attendance via a Facebook event page on The Green Ginger Fellowship’s Facebook page.</w:t>
      </w:r>
    </w:p>
    <w:p w14:paraId="52ADD4C0" w14:textId="77777777" w:rsidR="006473EC" w:rsidRPr="006473EC" w:rsidRDefault="006473EC" w:rsidP="006473EC">
      <w:pPr>
        <w:pStyle w:val="NormalWeb"/>
        <w:rPr>
          <w:rFonts w:ascii="Trebuchet MS" w:hAnsi="Trebuchet MS"/>
          <w:color w:val="000000"/>
          <w:sz w:val="27"/>
          <w:szCs w:val="27"/>
        </w:rPr>
      </w:pPr>
      <w:r w:rsidRPr="006473EC">
        <w:rPr>
          <w:rFonts w:ascii="Trebuchet MS" w:hAnsi="Trebuchet MS"/>
          <w:color w:val="000000"/>
          <w:sz w:val="27"/>
          <w:szCs w:val="27"/>
        </w:rPr>
        <w:t>Brief</w:t>
      </w:r>
    </w:p>
    <w:p w14:paraId="71C7ACE1"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The Front of House</w:t>
      </w:r>
      <w:bookmarkStart w:id="0" w:name="_GoBack"/>
      <w:bookmarkEnd w:id="0"/>
      <w:r w:rsidRPr="006473EC">
        <w:rPr>
          <w:rFonts w:ascii="Trebuchet MS" w:hAnsi="Trebuchet MS"/>
          <w:color w:val="000000"/>
        </w:rPr>
        <w:t xml:space="preserve"> Manager is being engaged to manage the day to day operations of </w:t>
      </w:r>
      <w:proofErr w:type="spellStart"/>
      <w:r w:rsidRPr="006473EC">
        <w:rPr>
          <w:rFonts w:ascii="Trebuchet MS" w:hAnsi="Trebuchet MS"/>
          <w:color w:val="000000"/>
        </w:rPr>
        <w:t>Micropolis</w:t>
      </w:r>
      <w:proofErr w:type="spellEnd"/>
      <w:r w:rsidRPr="006473EC">
        <w:rPr>
          <w:rFonts w:ascii="Trebuchet MS" w:hAnsi="Trebuchet MS"/>
          <w:color w:val="000000"/>
        </w:rPr>
        <w:t xml:space="preserve"> during its opening to the public.</w:t>
      </w:r>
    </w:p>
    <w:p w14:paraId="1440197E"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Agreed Time: The Front of House Manager will be available for the following dates and times</w:t>
      </w:r>
    </w:p>
    <w:p w14:paraId="7A1EC405"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Friday 20 October 13:00-21:00</w:t>
      </w:r>
    </w:p>
    <w:p w14:paraId="0952FE70"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lastRenderedPageBreak/>
        <w:t>Saturday 21 October 10:00-22:00</w:t>
      </w:r>
    </w:p>
    <w:p w14:paraId="4FF7C3A9"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Sunday 22 – Monday 30 October 12:30-22:00</w:t>
      </w:r>
    </w:p>
    <w:p w14:paraId="6F1A1457"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Fee: The Front of House Manager will be paid a total fee of £1,650 on completion of the work.</w:t>
      </w:r>
    </w:p>
    <w:p w14:paraId="568B47AA" w14:textId="77777777" w:rsidR="006473EC" w:rsidRPr="006473EC" w:rsidRDefault="006473EC" w:rsidP="006473EC">
      <w:pPr>
        <w:pStyle w:val="NormalWeb"/>
        <w:rPr>
          <w:rFonts w:ascii="Trebuchet MS" w:hAnsi="Trebuchet MS"/>
          <w:color w:val="000000"/>
          <w:sz w:val="27"/>
          <w:szCs w:val="27"/>
        </w:rPr>
      </w:pPr>
      <w:r w:rsidRPr="006473EC">
        <w:rPr>
          <w:rFonts w:ascii="Trebuchet MS" w:hAnsi="Trebuchet MS"/>
          <w:color w:val="000000"/>
          <w:sz w:val="27"/>
          <w:szCs w:val="27"/>
        </w:rPr>
        <w:t>Responsibilities</w:t>
      </w:r>
    </w:p>
    <w:p w14:paraId="38491A8D" w14:textId="77777777" w:rsidR="006473EC" w:rsidRPr="006473EC" w:rsidRDefault="006473EC" w:rsidP="006473EC">
      <w:pPr>
        <w:pStyle w:val="NormalWeb"/>
        <w:rPr>
          <w:rFonts w:ascii="Trebuchet MS" w:hAnsi="Trebuchet MS"/>
          <w:color w:val="000000"/>
        </w:rPr>
      </w:pPr>
      <w:r w:rsidRPr="006473EC">
        <w:rPr>
          <w:rFonts w:ascii="Trebuchet MS" w:hAnsi="Trebuchet MS"/>
          <w:color w:val="000000"/>
        </w:rPr>
        <w:t>The Front of House Manager will be responsible for the following duties:</w:t>
      </w:r>
    </w:p>
    <w:p w14:paraId="678C6C3C" w14:textId="77777777" w:rsidR="006473EC" w:rsidRPr="006473EC" w:rsidRDefault="006473EC" w:rsidP="006473EC">
      <w:pPr>
        <w:pStyle w:val="NormalWeb"/>
        <w:numPr>
          <w:ilvl w:val="0"/>
          <w:numId w:val="2"/>
        </w:numPr>
        <w:rPr>
          <w:rFonts w:ascii="Trebuchet MS" w:hAnsi="Trebuchet MS"/>
          <w:color w:val="000000"/>
        </w:rPr>
      </w:pPr>
      <w:r w:rsidRPr="006473EC">
        <w:rPr>
          <w:rFonts w:ascii="Trebuchet MS" w:hAnsi="Trebuchet MS"/>
          <w:color w:val="000000"/>
        </w:rPr>
        <w:t>Opening and closing the site and building each day</w:t>
      </w:r>
    </w:p>
    <w:p w14:paraId="112131E9" w14:textId="77777777" w:rsidR="006473EC" w:rsidRPr="006473EC" w:rsidRDefault="006473EC" w:rsidP="006473EC">
      <w:pPr>
        <w:pStyle w:val="NormalWeb"/>
        <w:numPr>
          <w:ilvl w:val="0"/>
          <w:numId w:val="2"/>
        </w:numPr>
        <w:rPr>
          <w:rFonts w:ascii="Trebuchet MS" w:hAnsi="Trebuchet MS"/>
          <w:color w:val="000000"/>
        </w:rPr>
      </w:pPr>
      <w:r w:rsidRPr="006473EC">
        <w:rPr>
          <w:rFonts w:ascii="Trebuchet MS" w:hAnsi="Trebuchet MS"/>
          <w:color w:val="000000"/>
        </w:rPr>
        <w:t>Preparing installation each day for opening:</w:t>
      </w:r>
    </w:p>
    <w:p w14:paraId="418471A4" w14:textId="77777777" w:rsidR="006473EC" w:rsidRPr="006473EC" w:rsidRDefault="006473EC" w:rsidP="006473EC">
      <w:pPr>
        <w:pStyle w:val="NormalWeb"/>
        <w:numPr>
          <w:ilvl w:val="1"/>
          <w:numId w:val="2"/>
        </w:numPr>
        <w:rPr>
          <w:rFonts w:ascii="Trebuchet MS" w:hAnsi="Trebuchet MS"/>
          <w:color w:val="000000"/>
        </w:rPr>
      </w:pPr>
      <w:r w:rsidRPr="006473EC">
        <w:rPr>
          <w:rFonts w:ascii="Trebuchet MS" w:hAnsi="Trebuchet MS"/>
          <w:color w:val="000000"/>
        </w:rPr>
        <w:t>Switching projectors on and off</w:t>
      </w:r>
    </w:p>
    <w:p w14:paraId="11086AAF" w14:textId="77777777" w:rsidR="006473EC" w:rsidRPr="006473EC" w:rsidRDefault="006473EC" w:rsidP="006473EC">
      <w:pPr>
        <w:pStyle w:val="NormalWeb"/>
        <w:numPr>
          <w:ilvl w:val="1"/>
          <w:numId w:val="2"/>
        </w:numPr>
        <w:rPr>
          <w:rFonts w:ascii="Trebuchet MS" w:hAnsi="Trebuchet MS"/>
          <w:color w:val="000000"/>
        </w:rPr>
      </w:pPr>
      <w:r w:rsidRPr="006473EC">
        <w:rPr>
          <w:rFonts w:ascii="Trebuchet MS" w:hAnsi="Trebuchet MS"/>
          <w:color w:val="000000"/>
        </w:rPr>
        <w:t>Switching show lighting (internal and external) on and off</w:t>
      </w:r>
    </w:p>
    <w:p w14:paraId="0AF187B4" w14:textId="77777777" w:rsidR="006473EC" w:rsidRPr="006473EC" w:rsidRDefault="006473EC" w:rsidP="006473EC">
      <w:pPr>
        <w:pStyle w:val="NormalWeb"/>
        <w:numPr>
          <w:ilvl w:val="1"/>
          <w:numId w:val="2"/>
        </w:numPr>
        <w:rPr>
          <w:rFonts w:ascii="Trebuchet MS" w:hAnsi="Trebuchet MS"/>
          <w:color w:val="000000"/>
        </w:rPr>
      </w:pPr>
      <w:r w:rsidRPr="006473EC">
        <w:rPr>
          <w:rFonts w:ascii="Trebuchet MS" w:hAnsi="Trebuchet MS"/>
          <w:color w:val="000000"/>
        </w:rPr>
        <w:t>Switching other animation on and off</w:t>
      </w:r>
    </w:p>
    <w:p w14:paraId="6EEFCCD8" w14:textId="77777777" w:rsidR="006473EC" w:rsidRPr="006473EC" w:rsidRDefault="006473EC" w:rsidP="006473EC">
      <w:pPr>
        <w:pStyle w:val="NormalWeb"/>
        <w:numPr>
          <w:ilvl w:val="1"/>
          <w:numId w:val="2"/>
        </w:numPr>
        <w:rPr>
          <w:rFonts w:ascii="Trebuchet MS" w:hAnsi="Trebuchet MS"/>
          <w:color w:val="000000"/>
        </w:rPr>
      </w:pPr>
      <w:r w:rsidRPr="006473EC">
        <w:rPr>
          <w:rFonts w:ascii="Trebuchet MS" w:hAnsi="Trebuchet MS"/>
          <w:color w:val="000000"/>
        </w:rPr>
        <w:t>Switching PA for soundscape on and off</w:t>
      </w:r>
    </w:p>
    <w:p w14:paraId="00926D1D" w14:textId="77777777" w:rsidR="006473EC" w:rsidRPr="006473EC" w:rsidRDefault="006473EC" w:rsidP="006473EC">
      <w:pPr>
        <w:pStyle w:val="NormalWeb"/>
        <w:numPr>
          <w:ilvl w:val="1"/>
          <w:numId w:val="2"/>
        </w:numPr>
        <w:rPr>
          <w:rFonts w:ascii="Trebuchet MS" w:hAnsi="Trebuchet MS"/>
          <w:color w:val="000000"/>
        </w:rPr>
      </w:pPr>
      <w:r w:rsidRPr="006473EC">
        <w:rPr>
          <w:rFonts w:ascii="Trebuchet MS" w:hAnsi="Trebuchet MS"/>
          <w:color w:val="000000"/>
        </w:rPr>
        <w:t>Checking the site and building is safe and clear of hazards for audience</w:t>
      </w:r>
    </w:p>
    <w:p w14:paraId="0C70A1B8" w14:textId="77777777" w:rsidR="006473EC" w:rsidRPr="006473EC" w:rsidRDefault="006473EC" w:rsidP="006473EC">
      <w:pPr>
        <w:pStyle w:val="NormalWeb"/>
        <w:numPr>
          <w:ilvl w:val="0"/>
          <w:numId w:val="2"/>
        </w:numPr>
        <w:rPr>
          <w:rFonts w:ascii="Trebuchet MS" w:hAnsi="Trebuchet MS"/>
          <w:color w:val="000000"/>
        </w:rPr>
      </w:pPr>
      <w:r w:rsidRPr="006473EC">
        <w:rPr>
          <w:rFonts w:ascii="Trebuchet MS" w:hAnsi="Trebuchet MS"/>
          <w:color w:val="000000"/>
        </w:rPr>
        <w:t>Managing front of house and monitoring and evaluation volunteers</w:t>
      </w:r>
    </w:p>
    <w:p w14:paraId="57F8BB74" w14:textId="77777777" w:rsidR="006473EC" w:rsidRPr="006473EC" w:rsidRDefault="006473EC" w:rsidP="006473EC">
      <w:pPr>
        <w:pStyle w:val="NormalWeb"/>
        <w:numPr>
          <w:ilvl w:val="0"/>
          <w:numId w:val="2"/>
        </w:numPr>
        <w:rPr>
          <w:rFonts w:ascii="Trebuchet MS" w:hAnsi="Trebuchet MS"/>
          <w:color w:val="000000"/>
        </w:rPr>
      </w:pPr>
      <w:r w:rsidRPr="006473EC">
        <w:rPr>
          <w:rFonts w:ascii="Trebuchet MS" w:hAnsi="Trebuchet MS"/>
          <w:color w:val="000000"/>
        </w:rPr>
        <w:t>Audience management</w:t>
      </w:r>
    </w:p>
    <w:p w14:paraId="7C3C2B8A" w14:textId="77777777" w:rsidR="006473EC" w:rsidRPr="006473EC" w:rsidRDefault="006473EC" w:rsidP="006473EC">
      <w:pPr>
        <w:pStyle w:val="NormalWeb"/>
        <w:numPr>
          <w:ilvl w:val="0"/>
          <w:numId w:val="2"/>
        </w:numPr>
        <w:rPr>
          <w:rFonts w:ascii="Trebuchet MS" w:hAnsi="Trebuchet MS"/>
          <w:color w:val="000000"/>
        </w:rPr>
      </w:pPr>
      <w:r w:rsidRPr="006473EC">
        <w:rPr>
          <w:rFonts w:ascii="Trebuchet MS" w:hAnsi="Trebuchet MS"/>
          <w:color w:val="000000"/>
        </w:rPr>
        <w:t>Management of other contractors including security, first aid and potential catering unit</w:t>
      </w:r>
    </w:p>
    <w:p w14:paraId="2B5F3FED" w14:textId="77777777" w:rsidR="006473EC" w:rsidRPr="006473EC" w:rsidRDefault="006473EC" w:rsidP="006473EC">
      <w:pPr>
        <w:pStyle w:val="NormalWeb"/>
        <w:numPr>
          <w:ilvl w:val="0"/>
          <w:numId w:val="2"/>
        </w:numPr>
        <w:rPr>
          <w:rFonts w:ascii="Trebuchet MS" w:hAnsi="Trebuchet MS"/>
          <w:color w:val="000000"/>
        </w:rPr>
      </w:pPr>
      <w:r w:rsidRPr="006473EC">
        <w:rPr>
          <w:rFonts w:ascii="Trebuchet MS" w:hAnsi="Trebuchet MS"/>
          <w:color w:val="000000"/>
        </w:rPr>
        <w:t>Completing show reports</w:t>
      </w:r>
    </w:p>
    <w:p w14:paraId="00242511" w14:textId="77777777" w:rsidR="006473EC" w:rsidRPr="006473EC" w:rsidRDefault="006473EC" w:rsidP="006473EC">
      <w:pPr>
        <w:pStyle w:val="NormalWeb"/>
        <w:numPr>
          <w:ilvl w:val="0"/>
          <w:numId w:val="2"/>
        </w:numPr>
        <w:rPr>
          <w:rFonts w:ascii="Trebuchet MS" w:hAnsi="Trebuchet MS"/>
          <w:color w:val="000000"/>
        </w:rPr>
      </w:pPr>
      <w:r w:rsidRPr="006473EC">
        <w:rPr>
          <w:rFonts w:ascii="Trebuchet MS" w:hAnsi="Trebuchet MS"/>
          <w:color w:val="000000"/>
        </w:rPr>
        <w:t>Working with the artist to trouble shoot any technological issues in a timely fashion, so as not to hinder the experience of any audience, and managing the audience during this accordingly i.e. holding entry.</w:t>
      </w:r>
    </w:p>
    <w:p w14:paraId="05AEB8F9" w14:textId="77777777" w:rsidR="009E5859" w:rsidRPr="006473EC" w:rsidRDefault="0080197C">
      <w:pPr>
        <w:rPr>
          <w:rFonts w:ascii="Trebuchet MS" w:hAnsi="Trebuchet MS"/>
        </w:rPr>
      </w:pPr>
    </w:p>
    <w:sectPr w:rsidR="009E5859" w:rsidRPr="00647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33BAF"/>
    <w:multiLevelType w:val="hybridMultilevel"/>
    <w:tmpl w:val="EFD0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C33CD"/>
    <w:multiLevelType w:val="hybridMultilevel"/>
    <w:tmpl w:val="7376033C"/>
    <w:lvl w:ilvl="0" w:tplc="8DFA1E50">
      <w:numFmt w:val="bullet"/>
      <w:lvlText w:val="·"/>
      <w:lvlJc w:val="left"/>
      <w:pPr>
        <w:ind w:left="720" w:hanging="360"/>
      </w:pPr>
      <w:rPr>
        <w:rFonts w:ascii="Trebuchet MS" w:eastAsia="Times New Roman" w:hAnsi="Trebuchet MS" w:cs="Times New Roman" w:hint="default"/>
      </w:rPr>
    </w:lvl>
    <w:lvl w:ilvl="1" w:tplc="8B6887CA">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EC"/>
    <w:rsid w:val="0042410F"/>
    <w:rsid w:val="006473EC"/>
    <w:rsid w:val="0080197C"/>
    <w:rsid w:val="00C7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D11D"/>
  <w15:chartTrackingRefBased/>
  <w15:docId w15:val="{4F4D390B-594C-4DC4-B5CC-F3706388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3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473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3242">
      <w:bodyDiv w:val="1"/>
      <w:marLeft w:val="0"/>
      <w:marRight w:val="0"/>
      <w:marTop w:val="0"/>
      <w:marBottom w:val="0"/>
      <w:divBdr>
        <w:top w:val="none" w:sz="0" w:space="0" w:color="auto"/>
        <w:left w:val="none" w:sz="0" w:space="0" w:color="auto"/>
        <w:bottom w:val="none" w:sz="0" w:space="0" w:color="auto"/>
        <w:right w:val="none" w:sz="0" w:space="0" w:color="auto"/>
      </w:divBdr>
    </w:div>
    <w:div w:id="473564369">
      <w:bodyDiv w:val="1"/>
      <w:marLeft w:val="0"/>
      <w:marRight w:val="0"/>
      <w:marTop w:val="0"/>
      <w:marBottom w:val="0"/>
      <w:divBdr>
        <w:top w:val="none" w:sz="0" w:space="0" w:color="auto"/>
        <w:left w:val="none" w:sz="0" w:space="0" w:color="auto"/>
        <w:bottom w:val="none" w:sz="0" w:space="0" w:color="auto"/>
        <w:right w:val="none" w:sz="0" w:space="0" w:color="auto"/>
      </w:divBdr>
    </w:div>
    <w:div w:id="719939356">
      <w:bodyDiv w:val="1"/>
      <w:marLeft w:val="0"/>
      <w:marRight w:val="0"/>
      <w:marTop w:val="0"/>
      <w:marBottom w:val="0"/>
      <w:divBdr>
        <w:top w:val="none" w:sz="0" w:space="0" w:color="auto"/>
        <w:left w:val="none" w:sz="0" w:space="0" w:color="auto"/>
        <w:bottom w:val="none" w:sz="0" w:space="0" w:color="auto"/>
        <w:right w:val="none" w:sz="0" w:space="0" w:color="auto"/>
      </w:divBdr>
    </w:div>
    <w:div w:id="17074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ging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6DB4C25-9851-47E4-884E-F10E2B06FE64}"/>
</file>

<file path=customXml/itemProps2.xml><?xml version="1.0" encoding="utf-8"?>
<ds:datastoreItem xmlns:ds="http://schemas.openxmlformats.org/officeDocument/2006/customXml" ds:itemID="{503F4D31-15BC-4A27-AEF8-7805125D83D8}">
  <ds:schemaRefs>
    <ds:schemaRef ds:uri="http://schemas.microsoft.com/sharepoint/v3/contenttype/forms"/>
  </ds:schemaRefs>
</ds:datastoreItem>
</file>

<file path=customXml/itemProps3.xml><?xml version="1.0" encoding="utf-8"?>
<ds:datastoreItem xmlns:ds="http://schemas.openxmlformats.org/officeDocument/2006/customXml" ds:itemID="{6DA060B1-D4D7-48F8-A57E-93E84B6CB534}">
  <ds:schemaRefs>
    <ds:schemaRef ds:uri="http://purl.org/dc/elements/1.1/"/>
    <ds:schemaRef ds:uri="http://schemas.openxmlformats.org/package/2006/metadata/core-properties"/>
    <ds:schemaRef ds:uri="http://schemas.microsoft.com/office/infopath/2007/PartnerControls"/>
    <ds:schemaRef ds:uri="80129174-c05c-43cc-8e32-21fcbdfe51bb"/>
    <ds:schemaRef ds:uri="http://purl.org/dc/dcmitype/"/>
    <ds:schemaRef ds:uri="http://purl.org/dc/terms/"/>
    <ds:schemaRef ds:uri="http://schemas.microsoft.com/office/2006/documentManagement/types"/>
    <ds:schemaRef ds:uri="958b15ed-c521-4290-b073-2e98d4cc1d7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1</cp:revision>
  <dcterms:created xsi:type="dcterms:W3CDTF">2017-10-20T13:44:00Z</dcterms:created>
  <dcterms:modified xsi:type="dcterms:W3CDTF">2017-10-20T14:14:00Z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