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84" w:rsidRPr="006135F6" w:rsidRDefault="00231C84">
      <w:pPr>
        <w:rPr>
          <w:rFonts w:ascii="Trebuchet MS" w:hAnsi="Trebuchet MS"/>
          <w:b/>
          <w:color w:val="000000" w:themeColor="text1"/>
          <w:u w:val="single"/>
        </w:rPr>
      </w:pPr>
      <w:bookmarkStart w:id="0" w:name="_GoBack"/>
      <w:bookmarkEnd w:id="0"/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1276"/>
        <w:gridCol w:w="1276"/>
        <w:gridCol w:w="1134"/>
        <w:gridCol w:w="1276"/>
      </w:tblGrid>
      <w:tr w:rsidR="00F26C61" w:rsidRPr="006135F6" w:rsidTr="00171CED">
        <w:tc>
          <w:tcPr>
            <w:tcW w:w="1242" w:type="dxa"/>
          </w:tcPr>
          <w:p w:rsidR="00F26C61" w:rsidRPr="006135F6" w:rsidRDefault="00F26C61">
            <w:pPr>
              <w:rPr>
                <w:rFonts w:ascii="Trebuchet MS" w:hAnsi="Trebuchet MS"/>
                <w:b/>
                <w:color w:val="000000" w:themeColor="text1"/>
              </w:rPr>
            </w:pPr>
            <w:r w:rsidRPr="006135F6">
              <w:rPr>
                <w:rFonts w:ascii="Trebuchet MS" w:hAnsi="Trebuchet MS"/>
                <w:b/>
                <w:color w:val="000000" w:themeColor="text1"/>
              </w:rPr>
              <w:t xml:space="preserve">Funder </w:t>
            </w:r>
          </w:p>
        </w:tc>
        <w:tc>
          <w:tcPr>
            <w:tcW w:w="12333" w:type="dxa"/>
            <w:gridSpan w:val="5"/>
          </w:tcPr>
          <w:p w:rsidR="00F26C61" w:rsidRPr="006135F6" w:rsidRDefault="008C304B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Strategic Touring </w:t>
            </w:r>
            <w:r w:rsidR="00F26C61">
              <w:rPr>
                <w:rFonts w:ascii="Trebuchet MS" w:hAnsi="Trebuchet MS"/>
                <w:b/>
                <w:color w:val="000000" w:themeColor="text1"/>
              </w:rPr>
              <w:t xml:space="preserve">- </w:t>
            </w:r>
            <w:r w:rsidR="00F26C61" w:rsidRPr="006135F6">
              <w:rPr>
                <w:rFonts w:ascii="Trebuchet MS" w:hAnsi="Trebuchet MS"/>
                <w:b/>
                <w:color w:val="000000" w:themeColor="text1"/>
              </w:rPr>
              <w:t xml:space="preserve">Arts Council England </w:t>
            </w:r>
          </w:p>
        </w:tc>
      </w:tr>
      <w:tr w:rsidR="00F26C61" w:rsidRPr="006135F6" w:rsidTr="00171CED">
        <w:tc>
          <w:tcPr>
            <w:tcW w:w="1242" w:type="dxa"/>
          </w:tcPr>
          <w:p w:rsidR="00F26C61" w:rsidRPr="006135F6" w:rsidRDefault="00F26C61">
            <w:pPr>
              <w:rPr>
                <w:rFonts w:ascii="Trebuchet MS" w:hAnsi="Trebuchet MS"/>
                <w:b/>
                <w:color w:val="000000" w:themeColor="text1"/>
              </w:rPr>
            </w:pPr>
            <w:r w:rsidRPr="006135F6">
              <w:rPr>
                <w:rFonts w:ascii="Trebuchet MS" w:hAnsi="Trebuchet MS"/>
                <w:b/>
                <w:color w:val="000000" w:themeColor="text1"/>
              </w:rPr>
              <w:t xml:space="preserve">Funding provided </w:t>
            </w:r>
          </w:p>
        </w:tc>
        <w:tc>
          <w:tcPr>
            <w:tcW w:w="12333" w:type="dxa"/>
            <w:gridSpan w:val="5"/>
          </w:tcPr>
          <w:p w:rsidR="00F26C61" w:rsidRPr="006135F6" w:rsidRDefault="00182876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£269,000</w:t>
            </w:r>
          </w:p>
        </w:tc>
      </w:tr>
      <w:tr w:rsidR="00A56BE7" w:rsidRPr="006135F6" w:rsidTr="00171CED">
        <w:tc>
          <w:tcPr>
            <w:tcW w:w="1242" w:type="dxa"/>
          </w:tcPr>
          <w:p w:rsidR="00A56BE7" w:rsidRPr="006135F6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371" w:type="dxa"/>
          </w:tcPr>
          <w:p w:rsidR="00A56BE7" w:rsidRPr="006135F6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56BE7" w:rsidRPr="006135F6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Funding </w:t>
            </w:r>
          </w:p>
        </w:tc>
        <w:tc>
          <w:tcPr>
            <w:tcW w:w="1276" w:type="dxa"/>
          </w:tcPr>
          <w:p w:rsidR="00A56BE7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Total cost</w:t>
            </w:r>
          </w:p>
        </w:tc>
        <w:tc>
          <w:tcPr>
            <w:tcW w:w="1134" w:type="dxa"/>
          </w:tcPr>
          <w:p w:rsidR="00A56BE7" w:rsidRPr="006135F6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Owner</w:t>
            </w:r>
          </w:p>
        </w:tc>
        <w:tc>
          <w:tcPr>
            <w:tcW w:w="1276" w:type="dxa"/>
          </w:tcPr>
          <w:p w:rsidR="00A56BE7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Budget </w:t>
            </w:r>
          </w:p>
        </w:tc>
      </w:tr>
      <w:tr w:rsidR="00A56BE7" w:rsidRPr="006135F6" w:rsidTr="00171CED">
        <w:tc>
          <w:tcPr>
            <w:tcW w:w="1242" w:type="dxa"/>
          </w:tcPr>
          <w:p w:rsidR="00A56BE7" w:rsidRPr="006135F6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Delivery requirements – programme </w:t>
            </w:r>
          </w:p>
        </w:tc>
        <w:tc>
          <w:tcPr>
            <w:tcW w:w="7371" w:type="dxa"/>
          </w:tcPr>
          <w:p w:rsidR="00A56BE7" w:rsidRPr="006D1C34" w:rsidRDefault="00A56BE7" w:rsidP="00877752">
            <w:pPr>
              <w:rPr>
                <w:rFonts w:ascii="Trebuchet MS" w:hAnsi="Trebuchet MS"/>
                <w:b/>
                <w:color w:val="000000" w:themeColor="text1"/>
              </w:rPr>
            </w:pPr>
            <w:r w:rsidRPr="006D1C34">
              <w:rPr>
                <w:rFonts w:ascii="Trebuchet MS" w:hAnsi="Trebuchet MS"/>
                <w:b/>
                <w:color w:val="000000" w:themeColor="text1"/>
              </w:rPr>
              <w:t>D</w:t>
            </w:r>
            <w:r w:rsidR="00182876" w:rsidRPr="006D1C34">
              <w:rPr>
                <w:rFonts w:ascii="Trebuchet MS" w:hAnsi="Trebuchet MS"/>
                <w:b/>
                <w:color w:val="000000" w:themeColor="text1"/>
              </w:rPr>
              <w:t xml:space="preserve">eliver the following:- </w:t>
            </w:r>
          </w:p>
          <w:p w:rsidR="00182876" w:rsidRPr="006D1C34" w:rsidRDefault="00182876" w:rsidP="0018287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rebuchet MS" w:hAnsi="Trebuchet MS"/>
                <w:color w:val="000000" w:themeColor="text1"/>
              </w:rPr>
            </w:pPr>
            <w:r w:rsidRPr="006D1C34">
              <w:rPr>
                <w:rFonts w:ascii="Trebuchet MS" w:hAnsi="Trebuchet MS" w:cs="Arial"/>
              </w:rPr>
              <w:t>Four festivals in 15 settings in three Hull neighbourhoods in 2017 and 2018</w:t>
            </w:r>
          </w:p>
          <w:p w:rsidR="009B5259" w:rsidRPr="006D1C34" w:rsidRDefault="009B5259" w:rsidP="0018287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rebuchet MS" w:hAnsi="Trebuchet MS"/>
                <w:color w:val="000000" w:themeColor="text1"/>
              </w:rPr>
            </w:pPr>
            <w:r w:rsidRPr="006D1C34">
              <w:rPr>
                <w:rFonts w:ascii="Trebuchet MS" w:hAnsi="Trebuchet MS" w:cs="Arial"/>
              </w:rPr>
              <w:t xml:space="preserve">Reach 13,000 people </w:t>
            </w:r>
          </w:p>
          <w:p w:rsidR="009B5259" w:rsidRPr="006D1C34" w:rsidRDefault="009B5259" w:rsidP="0018287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rebuchet MS" w:hAnsi="Trebuchet MS"/>
                <w:color w:val="000000" w:themeColor="text1"/>
              </w:rPr>
            </w:pPr>
            <w:r w:rsidRPr="006D1C34">
              <w:rPr>
                <w:rFonts w:ascii="Trebuchet MS" w:hAnsi="Trebuchet MS" w:cs="Arial"/>
              </w:rPr>
              <w:t xml:space="preserve">Deliver 110 performances </w:t>
            </w:r>
          </w:p>
          <w:p w:rsidR="009F0EBC" w:rsidRPr="006D1C34" w:rsidRDefault="009F0EBC" w:rsidP="0018287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rebuchet MS" w:hAnsi="Trebuchet MS"/>
                <w:color w:val="000000" w:themeColor="text1"/>
              </w:rPr>
            </w:pPr>
            <w:r w:rsidRPr="006D1C34">
              <w:rPr>
                <w:rFonts w:ascii="Trebuchet MS" w:hAnsi="Trebuchet MS" w:cs="Arial"/>
              </w:rPr>
              <w:t>Use schools, social clubs, pubs and community venues</w:t>
            </w:r>
          </w:p>
          <w:p w:rsidR="00182876" w:rsidRPr="006D1C34" w:rsidRDefault="00182876" w:rsidP="00182876">
            <w:pPr>
              <w:jc w:val="both"/>
              <w:rPr>
                <w:rFonts w:ascii="Trebuchet MS" w:hAnsi="Trebuchet MS"/>
                <w:color w:val="000000" w:themeColor="text1"/>
              </w:rPr>
            </w:pPr>
          </w:p>
          <w:p w:rsidR="00A56BE7" w:rsidRPr="006D1C34" w:rsidRDefault="00A56BE7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56BE7" w:rsidRPr="004963EC" w:rsidRDefault="00A56BE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A56BE7" w:rsidRPr="004963EC" w:rsidRDefault="00A56BE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134" w:type="dxa"/>
          </w:tcPr>
          <w:p w:rsidR="00A56BE7" w:rsidRPr="004963EC" w:rsidRDefault="00A56BE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A56BE7" w:rsidRPr="004963EC" w:rsidRDefault="00A56BE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9B5259" w:rsidRPr="006135F6" w:rsidTr="00171CED">
        <w:tc>
          <w:tcPr>
            <w:tcW w:w="1242" w:type="dxa"/>
          </w:tcPr>
          <w:p w:rsidR="009B5259" w:rsidRPr="006135F6" w:rsidRDefault="006D1C34" w:rsidP="006D1C34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Delivery requirements – establishment of network </w:t>
            </w:r>
            <w:r w:rsidR="009B5259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9B5259" w:rsidRPr="006D1C34" w:rsidRDefault="009B5259" w:rsidP="009B52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>build a new a city programme network made up from representatives from the core partner venues</w:t>
            </w:r>
            <w:r w:rsidR="006D1C34" w:rsidRPr="006D1C34">
              <w:rPr>
                <w:rFonts w:ascii="Trebuchet MS" w:hAnsi="Trebuchet MS" w:cs="Arial"/>
              </w:rPr>
              <w:t xml:space="preserve"> </w:t>
            </w:r>
            <w:r w:rsidRPr="006D1C34">
              <w:rPr>
                <w:rFonts w:ascii="Trebuchet MS" w:hAnsi="Trebuchet MS" w:cs="Arial"/>
              </w:rPr>
              <w:t>involved, their technical liaison and, in the instance of schools, their lead arts teacher meeting with the NNT project and Hull 2017 teams</w:t>
            </w: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134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9B5259" w:rsidRPr="006135F6" w:rsidTr="00171CED">
        <w:tc>
          <w:tcPr>
            <w:tcW w:w="1242" w:type="dxa"/>
          </w:tcPr>
          <w:p w:rsidR="009B5259" w:rsidRPr="006135F6" w:rsidRDefault="009B5259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Delivery requirements – staff </w:t>
            </w:r>
          </w:p>
        </w:tc>
        <w:tc>
          <w:tcPr>
            <w:tcW w:w="7371" w:type="dxa"/>
          </w:tcPr>
          <w:p w:rsidR="006D1C34" w:rsidRPr="006D1C34" w:rsidRDefault="006D1C34" w:rsidP="009B52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 xml:space="preserve">Appoint a </w:t>
            </w:r>
            <w:r w:rsidR="006C7E89" w:rsidRPr="006D1C34">
              <w:rPr>
                <w:rFonts w:ascii="Trebuchet MS" w:hAnsi="Trebuchet MS" w:cs="Arial"/>
              </w:rPr>
              <w:t>Programme Director, a project</w:t>
            </w:r>
            <w:r w:rsidRPr="006D1C34">
              <w:rPr>
                <w:rFonts w:ascii="Trebuchet MS" w:hAnsi="Trebuchet MS" w:cs="Arial"/>
              </w:rPr>
              <w:t xml:space="preserve"> </w:t>
            </w:r>
            <w:r w:rsidR="006C7E89" w:rsidRPr="006D1C34">
              <w:rPr>
                <w:rFonts w:ascii="Trebuchet MS" w:hAnsi="Trebuchet MS" w:cs="Arial"/>
              </w:rPr>
              <w:t xml:space="preserve">administrator and technical co-ordinator </w:t>
            </w:r>
          </w:p>
          <w:p w:rsidR="006D1C34" w:rsidRPr="006D1C34" w:rsidRDefault="006D1C34" w:rsidP="009B52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>Appoint a</w:t>
            </w:r>
            <w:r w:rsidR="009B5259" w:rsidRPr="006D1C34">
              <w:rPr>
                <w:rFonts w:ascii="Trebuchet MS" w:hAnsi="Trebuchet MS" w:cs="Arial"/>
              </w:rPr>
              <w:t xml:space="preserve"> festival specific local technical manager to work with the venues </w:t>
            </w:r>
          </w:p>
          <w:p w:rsidR="009B5259" w:rsidRPr="006D1C34" w:rsidRDefault="006D1C34" w:rsidP="009B52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>C</w:t>
            </w:r>
            <w:r w:rsidR="009B5259" w:rsidRPr="006D1C34">
              <w:rPr>
                <w:rFonts w:ascii="Trebuchet MS" w:hAnsi="Trebuchet MS" w:cs="Arial"/>
              </w:rPr>
              <w:t xml:space="preserve">reate further apprentice opportunities in engagement &amp; marketing and technical areas. </w:t>
            </w:r>
          </w:p>
          <w:p w:rsidR="009B5259" w:rsidRPr="006D1C34" w:rsidRDefault="009B5259" w:rsidP="009B5259">
            <w:pPr>
              <w:pStyle w:val="ListParagraph"/>
              <w:spacing w:after="240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134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9B5259" w:rsidRPr="006135F6" w:rsidTr="00171CED">
        <w:tc>
          <w:tcPr>
            <w:tcW w:w="1242" w:type="dxa"/>
          </w:tcPr>
          <w:p w:rsidR="009B5259" w:rsidRPr="006135F6" w:rsidRDefault="009B5259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Audience Engagement </w:t>
            </w:r>
          </w:p>
        </w:tc>
        <w:tc>
          <w:tcPr>
            <w:tcW w:w="7371" w:type="dxa"/>
          </w:tcPr>
          <w:p w:rsidR="009B5259" w:rsidRPr="006D1C34" w:rsidRDefault="009B5259" w:rsidP="006D1C3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 xml:space="preserve">Engage with Eastern European, African and Middle Eastern/Asian, LGBT, disabled and gypsy and traveller groups. </w:t>
            </w:r>
          </w:p>
          <w:p w:rsidR="006D1C34" w:rsidRPr="006D1C34" w:rsidRDefault="006D1C34" w:rsidP="006C7E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 xml:space="preserve">Deliver festivals in </w:t>
            </w:r>
            <w:r w:rsidR="009B5259" w:rsidRPr="006D1C34">
              <w:rPr>
                <w:rFonts w:ascii="Trebuchet MS" w:hAnsi="Trebuchet MS" w:cs="Arial"/>
              </w:rPr>
              <w:t>the East, North and West of the city</w:t>
            </w:r>
          </w:p>
          <w:p w:rsidR="006D1C34" w:rsidRPr="006D1C34" w:rsidRDefault="006C7E89" w:rsidP="006C7E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>least two events in each festival in each area to be interpreted</w:t>
            </w:r>
            <w:r w:rsidR="006D1C34" w:rsidRPr="006D1C34">
              <w:rPr>
                <w:rFonts w:ascii="Trebuchet MS" w:hAnsi="Trebuchet MS" w:cs="Arial"/>
              </w:rPr>
              <w:t xml:space="preserve"> </w:t>
            </w:r>
            <w:r w:rsidRPr="006D1C34">
              <w:rPr>
                <w:rFonts w:ascii="Trebuchet MS" w:hAnsi="Trebuchet MS" w:cs="Arial"/>
              </w:rPr>
              <w:t xml:space="preserve">(sign language, captioned or audio described) </w:t>
            </w:r>
          </w:p>
          <w:p w:rsidR="006C7E89" w:rsidRPr="006D1C34" w:rsidRDefault="006C7E89" w:rsidP="006C7E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>provide tra</w:t>
            </w:r>
            <w:r w:rsidR="006D1C34" w:rsidRPr="006D1C34">
              <w:rPr>
                <w:rFonts w:ascii="Trebuchet MS" w:hAnsi="Trebuchet MS" w:cs="Arial"/>
              </w:rPr>
              <w:t>nslation to support the shows e.g. polish</w:t>
            </w:r>
          </w:p>
          <w:p w:rsidR="009B5259" w:rsidRPr="006D1C34" w:rsidRDefault="009B5259" w:rsidP="007401F4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134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9B5259" w:rsidRPr="004963EC" w:rsidRDefault="009B5259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C7E89" w:rsidRPr="006135F6" w:rsidTr="00171CED">
        <w:tc>
          <w:tcPr>
            <w:tcW w:w="1242" w:type="dxa"/>
          </w:tcPr>
          <w:p w:rsidR="006C7E89" w:rsidRDefault="006C7E89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lastRenderedPageBreak/>
              <w:t xml:space="preserve">Governance </w:t>
            </w:r>
          </w:p>
        </w:tc>
        <w:tc>
          <w:tcPr>
            <w:tcW w:w="7371" w:type="dxa"/>
          </w:tcPr>
          <w:p w:rsidR="006D1C34" w:rsidRPr="006D1C34" w:rsidRDefault="006D1C34" w:rsidP="006D1C3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 xml:space="preserve">Establish a monthly programming steering group. </w:t>
            </w:r>
            <w:r w:rsidR="006C7E89" w:rsidRPr="006D1C34">
              <w:rPr>
                <w:rFonts w:ascii="Trebuchet MS" w:hAnsi="Trebuchet MS" w:cs="Arial"/>
              </w:rPr>
              <w:t>The Programme Director will chair a programming steering group made up local Venue teams, the core NNT</w:t>
            </w:r>
            <w:r w:rsidRPr="006D1C34">
              <w:rPr>
                <w:rFonts w:ascii="Trebuchet MS" w:hAnsi="Trebuchet MS" w:cs="Arial"/>
              </w:rPr>
              <w:t xml:space="preserve"> </w:t>
            </w:r>
            <w:r w:rsidR="006C7E89" w:rsidRPr="006D1C34">
              <w:rPr>
                <w:rFonts w:ascii="Trebuchet MS" w:hAnsi="Trebuchet MS" w:cs="Arial"/>
              </w:rPr>
              <w:t>team consisting of the Programme Director, part-time Project Administrator and Technical Co-ordinator, NNT</w:t>
            </w:r>
            <w:r w:rsidRPr="006D1C34">
              <w:rPr>
                <w:rFonts w:ascii="Trebuchet MS" w:hAnsi="Trebuchet MS" w:cs="Arial"/>
              </w:rPr>
              <w:t xml:space="preserve">, </w:t>
            </w:r>
            <w:r w:rsidR="006C7E89" w:rsidRPr="006D1C34">
              <w:rPr>
                <w:rFonts w:ascii="Trebuchet MS" w:hAnsi="Trebuchet MS" w:cs="Arial"/>
              </w:rPr>
              <w:t xml:space="preserve">Programme Consultant and Local Promoter, and Hull Programme Partners and Hull 2017 </w:t>
            </w:r>
          </w:p>
          <w:p w:rsidR="006C7E89" w:rsidRPr="006D1C34" w:rsidRDefault="006D1C34" w:rsidP="006C7E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D1C34">
              <w:rPr>
                <w:rFonts w:ascii="Trebuchet MS" w:hAnsi="Trebuchet MS" w:cs="Arial"/>
              </w:rPr>
              <w:t xml:space="preserve"> </w:t>
            </w:r>
            <w:r w:rsidR="006C7E89" w:rsidRPr="006D1C34">
              <w:rPr>
                <w:rFonts w:ascii="Trebuchet MS" w:hAnsi="Trebuchet MS" w:cs="Arial"/>
              </w:rPr>
              <w:t>For each festival the local festival team, led by the Venue Manager, will be expanded to include a Local</w:t>
            </w:r>
            <w:r w:rsidRPr="006D1C34">
              <w:rPr>
                <w:rFonts w:ascii="Trebuchet MS" w:hAnsi="Trebuchet MS" w:cs="Arial"/>
              </w:rPr>
              <w:t xml:space="preserve"> </w:t>
            </w:r>
            <w:r w:rsidR="006C7E89" w:rsidRPr="006D1C34">
              <w:rPr>
                <w:rFonts w:ascii="Trebuchet MS" w:hAnsi="Trebuchet MS" w:cs="Arial"/>
              </w:rPr>
              <w:t xml:space="preserve">Marketing &amp; Engagement Manager, casual technicians, Front of House manager, Box Office assistants and Hull2017 volunteers. Two apprentice /intern roles in Technical and Marketing will be offered at each local festival. </w:t>
            </w:r>
          </w:p>
          <w:p w:rsidR="006C7E89" w:rsidRPr="006D1C34" w:rsidRDefault="006C7E89" w:rsidP="009B5259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:rsidR="006C7E89" w:rsidRPr="004963EC" w:rsidRDefault="006C7E8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6C7E89" w:rsidRPr="004963EC" w:rsidRDefault="006C7E8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134" w:type="dxa"/>
          </w:tcPr>
          <w:p w:rsidR="006C7E89" w:rsidRPr="004963EC" w:rsidRDefault="006C7E89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276" w:type="dxa"/>
          </w:tcPr>
          <w:p w:rsidR="006C7E89" w:rsidRPr="004963EC" w:rsidRDefault="006C7E89">
            <w:pPr>
              <w:rPr>
                <w:rFonts w:ascii="Trebuchet MS" w:hAnsi="Trebuchet MS"/>
                <w:color w:val="000000" w:themeColor="text1"/>
              </w:rPr>
            </w:pPr>
          </w:p>
        </w:tc>
      </w:tr>
    </w:tbl>
    <w:p w:rsidR="00EF05B0" w:rsidRPr="006135F6" w:rsidRDefault="00EF05B0">
      <w:pPr>
        <w:rPr>
          <w:rFonts w:ascii="Trebuchet MS" w:hAnsi="Trebuchet MS"/>
          <w:b/>
          <w:color w:val="000000" w:themeColor="text1"/>
          <w:u w:val="single"/>
        </w:rPr>
      </w:pPr>
    </w:p>
    <w:sectPr w:rsidR="00EF05B0" w:rsidRPr="006135F6" w:rsidSect="00EF56A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6F" w:rsidRDefault="00D55B6F" w:rsidP="002E407B">
      <w:pPr>
        <w:spacing w:after="0" w:line="240" w:lineRule="auto"/>
      </w:pPr>
      <w:r>
        <w:separator/>
      </w:r>
    </w:p>
  </w:endnote>
  <w:endnote w:type="continuationSeparator" w:id="0">
    <w:p w:rsidR="00D55B6F" w:rsidRDefault="00D55B6F" w:rsidP="002E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7B" w:rsidRPr="00DC6B1A" w:rsidRDefault="00D55B6F" w:rsidP="00DC6B1A">
    <w:pPr>
      <w:pStyle w:val="Footer"/>
    </w:pPr>
    <w:r>
      <w:fldChar w:fldCharType="begin"/>
    </w:r>
    <w:r>
      <w:instrText xml:space="preserve"> FILENAME  \p  \* MERGEFORM</w:instrText>
    </w:r>
    <w:r>
      <w:instrText xml:space="preserve">AT </w:instrText>
    </w:r>
    <w:r>
      <w:fldChar w:fldCharType="separate"/>
    </w:r>
    <w:r w:rsidR="00DC6B1A">
      <w:rPr>
        <w:noProof/>
      </w:rPr>
      <w:t>Y:\Culture Company\Partnerships &amp; Development\Development\Public\Arts Council\Strategic Touring\Funder Summary - Strategic Touring.docx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6F" w:rsidRDefault="00D55B6F" w:rsidP="002E407B">
      <w:pPr>
        <w:spacing w:after="0" w:line="240" w:lineRule="auto"/>
      </w:pPr>
      <w:r>
        <w:separator/>
      </w:r>
    </w:p>
  </w:footnote>
  <w:footnote w:type="continuationSeparator" w:id="0">
    <w:p w:rsidR="00D55B6F" w:rsidRDefault="00D55B6F" w:rsidP="002E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9D4"/>
    <w:multiLevelType w:val="hybridMultilevel"/>
    <w:tmpl w:val="AF98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5474"/>
    <w:multiLevelType w:val="hybridMultilevel"/>
    <w:tmpl w:val="88C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64C"/>
    <w:multiLevelType w:val="hybridMultilevel"/>
    <w:tmpl w:val="5AC4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0CFC"/>
    <w:multiLevelType w:val="hybridMultilevel"/>
    <w:tmpl w:val="B9CC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5C2"/>
    <w:multiLevelType w:val="hybridMultilevel"/>
    <w:tmpl w:val="CC4C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89B"/>
    <w:multiLevelType w:val="hybridMultilevel"/>
    <w:tmpl w:val="5B808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952"/>
    <w:multiLevelType w:val="hybridMultilevel"/>
    <w:tmpl w:val="5B808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5464"/>
    <w:multiLevelType w:val="hybridMultilevel"/>
    <w:tmpl w:val="D78211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F0923"/>
    <w:multiLevelType w:val="hybridMultilevel"/>
    <w:tmpl w:val="5B808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9F"/>
    <w:rsid w:val="001461C5"/>
    <w:rsid w:val="00171CED"/>
    <w:rsid w:val="00182876"/>
    <w:rsid w:val="001B4521"/>
    <w:rsid w:val="00231C84"/>
    <w:rsid w:val="002E407B"/>
    <w:rsid w:val="00347A88"/>
    <w:rsid w:val="004963EC"/>
    <w:rsid w:val="00590601"/>
    <w:rsid w:val="006135F6"/>
    <w:rsid w:val="00635B6D"/>
    <w:rsid w:val="0064717E"/>
    <w:rsid w:val="006C7E89"/>
    <w:rsid w:val="006D1C34"/>
    <w:rsid w:val="007401F4"/>
    <w:rsid w:val="008018A1"/>
    <w:rsid w:val="0087544C"/>
    <w:rsid w:val="00877752"/>
    <w:rsid w:val="008A7EA7"/>
    <w:rsid w:val="008C304B"/>
    <w:rsid w:val="009B5259"/>
    <w:rsid w:val="009F0EBC"/>
    <w:rsid w:val="00A56BE7"/>
    <w:rsid w:val="00AD3F36"/>
    <w:rsid w:val="00BC2F18"/>
    <w:rsid w:val="00BE6294"/>
    <w:rsid w:val="00CB590B"/>
    <w:rsid w:val="00CE05FA"/>
    <w:rsid w:val="00D55B6F"/>
    <w:rsid w:val="00DB4466"/>
    <w:rsid w:val="00DC6B1A"/>
    <w:rsid w:val="00E154C8"/>
    <w:rsid w:val="00E63BED"/>
    <w:rsid w:val="00E70D9F"/>
    <w:rsid w:val="00ED37FB"/>
    <w:rsid w:val="00EE7650"/>
    <w:rsid w:val="00EF05B0"/>
    <w:rsid w:val="00EF56A7"/>
    <w:rsid w:val="00F26C61"/>
    <w:rsid w:val="00F406F6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67229-FDF7-45BF-86A2-B9C816B8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401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401F4"/>
  </w:style>
  <w:style w:type="paragraph" w:customStyle="1" w:styleId="Tabletext">
    <w:name w:val="Table text"/>
    <w:rsid w:val="007401F4"/>
    <w:pPr>
      <w:spacing w:after="0" w:line="320" w:lineRule="atLeast"/>
    </w:pPr>
    <w:rPr>
      <w:rFonts w:ascii="Arial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E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7B"/>
  </w:style>
  <w:style w:type="paragraph" w:styleId="Footer">
    <w:name w:val="footer"/>
    <w:basedOn w:val="Normal"/>
    <w:link w:val="FooterChar"/>
    <w:uiPriority w:val="99"/>
    <w:unhideWhenUsed/>
    <w:rsid w:val="002E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7B"/>
  </w:style>
  <w:style w:type="paragraph" w:styleId="BalloonText">
    <w:name w:val="Balloon Text"/>
    <w:basedOn w:val="Normal"/>
    <w:link w:val="BalloonTextChar"/>
    <w:uiPriority w:val="99"/>
    <w:semiHidden/>
    <w:unhideWhenUsed/>
    <w:rsid w:val="002E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Henri Duckworth</DisplayName>
        <AccountId>51</AccountId>
        <AccountType/>
      </UserInfo>
      <UserInfo>
        <DisplayName>Lindsey Alvis</DisplayName>
        <AccountId>41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899E8-4CBD-40DC-8F8E-11CFF733423B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3D392431-E0B5-4399-8BD7-6319736DB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23A0B-3846-44EF-B449-5E8A31DA5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Trowsdale James</dc:creator>
  <cp:lastModifiedBy>Elinor Unwin</cp:lastModifiedBy>
  <cp:revision>2</cp:revision>
  <dcterms:created xsi:type="dcterms:W3CDTF">2017-02-06T18:07:00Z</dcterms:created>
  <dcterms:modified xsi:type="dcterms:W3CDTF">2017-02-06T18:07:00Z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