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E19B4" w14:textId="77777777" w:rsidR="003A2D58" w:rsidRPr="003A2D58" w:rsidRDefault="003A2D58">
      <w:pPr>
        <w:rPr>
          <w:b/>
        </w:rPr>
      </w:pPr>
      <w:r>
        <w:rPr>
          <w:b/>
        </w:rPr>
        <w:t>Square P</w:t>
      </w:r>
      <w:r w:rsidRPr="003A2D58">
        <w:rPr>
          <w:b/>
        </w:rPr>
        <w:t>eg – Programme outline and progress</w:t>
      </w:r>
    </w:p>
    <w:p w14:paraId="41FCDA38" w14:textId="77777777" w:rsidR="003A2D58" w:rsidRDefault="003A2D58"/>
    <w:tbl>
      <w:tblPr>
        <w:tblStyle w:val="TableGrid"/>
        <w:tblW w:w="0" w:type="auto"/>
        <w:tblLook w:val="04A0" w:firstRow="1" w:lastRow="0" w:firstColumn="1" w:lastColumn="0" w:noHBand="0" w:noVBand="1"/>
      </w:tblPr>
      <w:tblGrid>
        <w:gridCol w:w="2549"/>
        <w:gridCol w:w="5145"/>
        <w:gridCol w:w="1322"/>
      </w:tblGrid>
      <w:tr w:rsidR="003A2D58" w14:paraId="16A051DE" w14:textId="77777777" w:rsidTr="003A2D58">
        <w:tc>
          <w:tcPr>
            <w:tcW w:w="2660" w:type="dxa"/>
          </w:tcPr>
          <w:p w14:paraId="1C4C694B" w14:textId="77777777" w:rsidR="003A2D58" w:rsidRPr="003A2D58" w:rsidRDefault="003A2D58">
            <w:pPr>
              <w:rPr>
                <w:b/>
              </w:rPr>
            </w:pPr>
            <w:r>
              <w:rPr>
                <w:b/>
              </w:rPr>
              <w:t xml:space="preserve"> Project</w:t>
            </w:r>
          </w:p>
        </w:tc>
        <w:tc>
          <w:tcPr>
            <w:tcW w:w="5245" w:type="dxa"/>
          </w:tcPr>
          <w:p w14:paraId="3A7018A5" w14:textId="77777777" w:rsidR="003A2D58" w:rsidRPr="003A2D58" w:rsidRDefault="003A2D58">
            <w:pPr>
              <w:rPr>
                <w:b/>
              </w:rPr>
            </w:pPr>
            <w:r w:rsidRPr="003A2D58">
              <w:rPr>
                <w:b/>
              </w:rPr>
              <w:t>Overview</w:t>
            </w:r>
          </w:p>
        </w:tc>
        <w:tc>
          <w:tcPr>
            <w:tcW w:w="1337" w:type="dxa"/>
          </w:tcPr>
          <w:p w14:paraId="796E46D5" w14:textId="77777777" w:rsidR="003A2D58" w:rsidRPr="003A2D58" w:rsidRDefault="003A2D58">
            <w:pPr>
              <w:rPr>
                <w:b/>
              </w:rPr>
            </w:pPr>
            <w:r w:rsidRPr="003A2D58">
              <w:rPr>
                <w:b/>
              </w:rPr>
              <w:t>Status</w:t>
            </w:r>
          </w:p>
        </w:tc>
      </w:tr>
      <w:tr w:rsidR="003A2D58" w14:paraId="35861235" w14:textId="77777777" w:rsidTr="003A2D58">
        <w:tc>
          <w:tcPr>
            <w:tcW w:w="2660" w:type="dxa"/>
            <w:shd w:val="clear" w:color="auto" w:fill="DBE5F1" w:themeFill="accent1" w:themeFillTint="33"/>
          </w:tcPr>
          <w:p w14:paraId="1F716820" w14:textId="77777777" w:rsidR="003A2D58" w:rsidRDefault="003A2D58">
            <w:r>
              <w:t xml:space="preserve">Tanya </w:t>
            </w:r>
            <w:proofErr w:type="spellStart"/>
            <w:r>
              <w:t>Raabe</w:t>
            </w:r>
            <w:proofErr w:type="spellEnd"/>
            <w:r>
              <w:t xml:space="preserve"> Webber Residency</w:t>
            </w:r>
          </w:p>
          <w:p w14:paraId="5CB4491F" w14:textId="77777777" w:rsidR="00C56347" w:rsidRDefault="00C56347"/>
          <w:p w14:paraId="0B661EA1" w14:textId="77777777" w:rsidR="00C56347" w:rsidRDefault="007521B7">
            <w:r>
              <w:t>3</w:t>
            </w:r>
            <w:r w:rsidRPr="007521B7">
              <w:rPr>
                <w:vertAlign w:val="superscript"/>
              </w:rPr>
              <w:t>rd</w:t>
            </w:r>
            <w:r>
              <w:t xml:space="preserve"> February 2017 - </w:t>
            </w:r>
          </w:p>
        </w:tc>
        <w:tc>
          <w:tcPr>
            <w:tcW w:w="5245" w:type="dxa"/>
            <w:shd w:val="clear" w:color="auto" w:fill="DBE5F1" w:themeFill="accent1" w:themeFillTint="33"/>
          </w:tcPr>
          <w:p w14:paraId="67B1BD55" w14:textId="77777777" w:rsidR="003A2D58" w:rsidRDefault="003A2D58" w:rsidP="003A2D58">
            <w:r w:rsidRPr="00703098">
              <w:rPr>
                <w:b/>
              </w:rPr>
              <w:t xml:space="preserve">Tanya </w:t>
            </w:r>
            <w:proofErr w:type="spellStart"/>
            <w:r w:rsidRPr="00703098">
              <w:rPr>
                <w:b/>
              </w:rPr>
              <w:t>Raabe</w:t>
            </w:r>
            <w:proofErr w:type="spellEnd"/>
            <w:r w:rsidRPr="00703098">
              <w:rPr>
                <w:b/>
              </w:rPr>
              <w:t xml:space="preserve"> – Webber</w:t>
            </w:r>
            <w:r>
              <w:t xml:space="preserve"> – </w:t>
            </w:r>
            <w:r w:rsidR="007521B7">
              <w:t>3</w:t>
            </w:r>
            <w:r w:rsidR="007521B7" w:rsidRPr="007521B7">
              <w:rPr>
                <w:vertAlign w:val="superscript"/>
              </w:rPr>
              <w:t>rd</w:t>
            </w:r>
            <w:r w:rsidR="007521B7">
              <w:t xml:space="preserve"> </w:t>
            </w:r>
            <w:r>
              <w:t xml:space="preserve">February (Portrait paintings and residency) </w:t>
            </w:r>
          </w:p>
          <w:p w14:paraId="28B96496" w14:textId="77777777" w:rsidR="003A2D58" w:rsidRDefault="003A2D58" w:rsidP="003A2D58"/>
          <w:p w14:paraId="6B5487E3" w14:textId="77777777" w:rsidR="003A2D58" w:rsidRDefault="003A2D58" w:rsidP="003A2D58">
            <w:r>
              <w:t>A disabled portrait painter who recently completed and</w:t>
            </w:r>
            <w:r w:rsidR="00C56347">
              <w:t xml:space="preserve"> exhibited a project entitled ‘Portraits U</w:t>
            </w:r>
            <w:r>
              <w:t xml:space="preserve">ntold’, this exhibition at Artlink is an outcome of this project. Tanya will conduct her ‘sittings’ on four separate days during her week long residency at Artlink. These sitting will be with 4 people from Hull whom all touch aspects of the diverse community. The public are invited to take part as a workshop and conduct their own portraits whilst also interviewing the sitter. The exhibition will be a collection of work by Tanya from various projects, mainly her documentation from an international summit with Project Ability. </w:t>
            </w:r>
          </w:p>
          <w:p w14:paraId="24EDEE8D" w14:textId="77777777" w:rsidR="003A2D58" w:rsidRDefault="003A2D58"/>
        </w:tc>
        <w:tc>
          <w:tcPr>
            <w:tcW w:w="1337" w:type="dxa"/>
            <w:shd w:val="clear" w:color="auto" w:fill="DBE5F1" w:themeFill="accent1" w:themeFillTint="33"/>
          </w:tcPr>
          <w:p w14:paraId="56E55E07" w14:textId="77777777" w:rsidR="003A2D58" w:rsidRDefault="003A2D58">
            <w:r>
              <w:t>Complete</w:t>
            </w:r>
          </w:p>
          <w:p w14:paraId="38552555" w14:textId="77777777" w:rsidR="003A2D58" w:rsidRPr="003A2D58" w:rsidRDefault="003A2D58">
            <w:pPr>
              <w:rPr>
                <w:b/>
              </w:rPr>
            </w:pPr>
            <w:r w:rsidRPr="003A2D58">
              <w:rPr>
                <w:b/>
              </w:rPr>
              <w:t>Report submitted</w:t>
            </w:r>
          </w:p>
        </w:tc>
      </w:tr>
      <w:tr w:rsidR="003A2D58" w14:paraId="04D0504F" w14:textId="77777777" w:rsidTr="003A2D58">
        <w:tc>
          <w:tcPr>
            <w:tcW w:w="2660" w:type="dxa"/>
            <w:shd w:val="clear" w:color="auto" w:fill="DBE5F1" w:themeFill="accent1" w:themeFillTint="33"/>
          </w:tcPr>
          <w:p w14:paraId="73755D68" w14:textId="77777777" w:rsidR="003A2D58" w:rsidRDefault="003A2D58">
            <w:r>
              <w:t>Adam Reynold Memorial Bursary – The Shortlist</w:t>
            </w:r>
          </w:p>
        </w:tc>
        <w:tc>
          <w:tcPr>
            <w:tcW w:w="5245" w:type="dxa"/>
            <w:shd w:val="clear" w:color="auto" w:fill="DBE5F1" w:themeFill="accent1" w:themeFillTint="33"/>
          </w:tcPr>
          <w:p w14:paraId="788D5D08" w14:textId="77777777" w:rsidR="00303565" w:rsidRPr="00D30E81" w:rsidRDefault="00303565" w:rsidP="00303565">
            <w:r w:rsidRPr="00D30E81">
              <w:t>Shape set up the ARMB in memory of the life and work of Sculptor Adam Reynolds. It is designed to support a mid-career disabled artist or artists, looking to develop their practice and build their profile by offering funds and a three month residency at a high-profile arts venue.</w:t>
            </w:r>
          </w:p>
          <w:p w14:paraId="6236FEA8" w14:textId="77777777" w:rsidR="00303565" w:rsidRDefault="00303565" w:rsidP="00303565">
            <w:r w:rsidRPr="00D30E81">
              <w:t>The bursary aims to provide an opportunity for artists to develop their ideas and practice without pressure to deliver a particular outcome such as finished or exhibition-ready work. It operates additionally to provide space, time and financial support within a framework of constructive and creative critical dialogue. </w:t>
            </w:r>
          </w:p>
          <w:p w14:paraId="72D44B85" w14:textId="77777777" w:rsidR="00816DAD" w:rsidRDefault="00816DAD" w:rsidP="00303565">
            <w:r>
              <w:t>This exhibition will be the first ever Shortlist exhibition and provides an opportunity for the seven finalists to have their work exhibited.</w:t>
            </w:r>
          </w:p>
          <w:p w14:paraId="55621B03" w14:textId="77777777" w:rsidR="003A2D58" w:rsidRDefault="003A2D58"/>
        </w:tc>
        <w:tc>
          <w:tcPr>
            <w:tcW w:w="1337" w:type="dxa"/>
            <w:shd w:val="clear" w:color="auto" w:fill="DBE5F1" w:themeFill="accent1" w:themeFillTint="33"/>
          </w:tcPr>
          <w:p w14:paraId="2FB318EF" w14:textId="77777777" w:rsidR="003A2D58" w:rsidRDefault="003A2D58">
            <w:r>
              <w:t>Complete</w:t>
            </w:r>
          </w:p>
        </w:tc>
      </w:tr>
      <w:tr w:rsidR="003A2D58" w14:paraId="3A8EF20F" w14:textId="77777777" w:rsidTr="003A2D58">
        <w:tc>
          <w:tcPr>
            <w:tcW w:w="2660" w:type="dxa"/>
            <w:shd w:val="clear" w:color="auto" w:fill="D6E3BC" w:themeFill="accent3" w:themeFillTint="66"/>
          </w:tcPr>
          <w:p w14:paraId="46A5A51D" w14:textId="77777777" w:rsidR="003A2D58" w:rsidRDefault="003A2D58">
            <w:r>
              <w:t>Adam Reynolds Memorial Bursary –Oliver Macdonald</w:t>
            </w:r>
          </w:p>
        </w:tc>
        <w:tc>
          <w:tcPr>
            <w:tcW w:w="5245" w:type="dxa"/>
            <w:shd w:val="clear" w:color="auto" w:fill="D6E3BC" w:themeFill="accent3" w:themeFillTint="66"/>
          </w:tcPr>
          <w:p w14:paraId="5BBC2F23" w14:textId="77777777" w:rsidR="00FA4498" w:rsidRDefault="00FA4498" w:rsidP="00FA4498">
            <w:pPr>
              <w:pStyle w:val="NormalWeb"/>
              <w:shd w:val="clear" w:color="auto" w:fill="D6E3BC" w:themeFill="accent3" w:themeFillTint="66"/>
              <w:spacing w:before="0" w:beforeAutospacing="0" w:after="0" w:afterAutospacing="0"/>
              <w:textAlignment w:val="baseline"/>
              <w:rPr>
                <w:rFonts w:asciiTheme="minorHAnsi" w:hAnsiTheme="minorHAnsi" w:cstheme="minorHAnsi"/>
                <w:color w:val="191919"/>
                <w:sz w:val="20"/>
                <w:szCs w:val="20"/>
              </w:rPr>
            </w:pPr>
          </w:p>
          <w:p w14:paraId="5D69373E" w14:textId="77777777" w:rsidR="00FA4498" w:rsidRPr="00FA4498" w:rsidRDefault="00FA4498" w:rsidP="00FA4498">
            <w:pPr>
              <w:pStyle w:val="NormalWeb"/>
              <w:shd w:val="clear" w:color="auto" w:fill="D6E3BC" w:themeFill="accent3" w:themeFillTint="66"/>
              <w:spacing w:before="0" w:beforeAutospacing="0" w:after="0" w:afterAutospacing="0"/>
              <w:textAlignment w:val="baseline"/>
              <w:rPr>
                <w:rFonts w:asciiTheme="minorHAnsi" w:hAnsiTheme="minorHAnsi" w:cstheme="minorHAnsi"/>
                <w:color w:val="191919"/>
                <w:sz w:val="22"/>
                <w:szCs w:val="22"/>
              </w:rPr>
            </w:pPr>
            <w:r w:rsidRPr="00FA4498">
              <w:rPr>
                <w:rFonts w:asciiTheme="minorHAnsi" w:hAnsiTheme="minorHAnsi" w:cstheme="minorHAnsi"/>
                <w:color w:val="191919"/>
                <w:sz w:val="22"/>
                <w:szCs w:val="22"/>
              </w:rPr>
              <w:t>Following his three month Adam Reynolds Memorial Bursary residency at Turner Contemporary, Margate,</w:t>
            </w:r>
            <w:r w:rsidRPr="00FA4498">
              <w:rPr>
                <w:rStyle w:val="apple-converted-space"/>
                <w:rFonts w:asciiTheme="minorHAnsi" w:hAnsiTheme="minorHAnsi" w:cstheme="minorHAnsi"/>
                <w:color w:val="191919"/>
                <w:sz w:val="22"/>
                <w:szCs w:val="22"/>
              </w:rPr>
              <w:t> </w:t>
            </w:r>
            <w:hyperlink r:id="rId8" w:tgtFrame="_blank" w:history="1">
              <w:r w:rsidRPr="00FA4498">
                <w:rPr>
                  <w:rStyle w:val="Hyperlink"/>
                  <w:rFonts w:asciiTheme="minorHAnsi" w:hAnsiTheme="minorHAnsi" w:cstheme="minorHAnsi"/>
                  <w:b/>
                  <w:bCs/>
                  <w:color w:val="CF4249"/>
                  <w:sz w:val="22"/>
                  <w:szCs w:val="22"/>
                  <w:bdr w:val="none" w:sz="0" w:space="0" w:color="auto" w:frame="1"/>
                </w:rPr>
                <w:t>Artlink</w:t>
              </w:r>
              <w:r w:rsidRPr="00FA4498">
                <w:rPr>
                  <w:rStyle w:val="apple-converted-space"/>
                  <w:rFonts w:asciiTheme="minorHAnsi" w:hAnsiTheme="minorHAnsi" w:cstheme="minorHAnsi"/>
                  <w:b/>
                  <w:bCs/>
                  <w:color w:val="CF4249"/>
                  <w:sz w:val="22"/>
                  <w:szCs w:val="22"/>
                  <w:bdr w:val="none" w:sz="0" w:space="0" w:color="auto" w:frame="1"/>
                </w:rPr>
                <w:t> </w:t>
              </w:r>
            </w:hyperlink>
            <w:r w:rsidRPr="00FA4498">
              <w:rPr>
                <w:rFonts w:asciiTheme="minorHAnsi" w:hAnsiTheme="minorHAnsi" w:cstheme="minorHAnsi"/>
                <w:color w:val="191919"/>
                <w:sz w:val="22"/>
                <w:szCs w:val="22"/>
              </w:rPr>
              <w:t>present Oliver MacDonald’s solo exhibition, ‘Dog Basket Baboon’.</w:t>
            </w:r>
          </w:p>
          <w:p w14:paraId="28792416" w14:textId="77777777" w:rsidR="00FA4498" w:rsidRPr="00FA4498" w:rsidRDefault="00FA4498" w:rsidP="00FA4498">
            <w:pPr>
              <w:pStyle w:val="NormalWeb"/>
              <w:shd w:val="clear" w:color="auto" w:fill="D6E3BC" w:themeFill="accent3" w:themeFillTint="66"/>
              <w:spacing w:before="0" w:beforeAutospacing="0" w:after="0" w:afterAutospacing="0"/>
              <w:textAlignment w:val="baseline"/>
              <w:rPr>
                <w:rFonts w:asciiTheme="minorHAnsi" w:hAnsiTheme="minorHAnsi" w:cstheme="minorHAnsi"/>
                <w:color w:val="191919"/>
                <w:sz w:val="22"/>
                <w:szCs w:val="22"/>
              </w:rPr>
            </w:pPr>
            <w:r w:rsidRPr="00FA4498">
              <w:rPr>
                <w:rFonts w:asciiTheme="minorHAnsi" w:hAnsiTheme="minorHAnsi" w:cstheme="minorHAnsi"/>
                <w:color w:val="191919"/>
                <w:sz w:val="22"/>
                <w:szCs w:val="22"/>
              </w:rPr>
              <w:t>Oliver MacDonald is the recipient of Shape Arts’ 2017 Adam Reynolds Memorial Bursary. Trained as a willow weaver, he explores traditional craft through a conceptual lens. He utilised word play and layers of reference to often absurd and humorous ends.</w:t>
            </w:r>
          </w:p>
          <w:p w14:paraId="4A6A1C4F" w14:textId="77777777" w:rsidR="00FA4498" w:rsidRPr="00FA4498" w:rsidRDefault="00FA4498" w:rsidP="00FA4498">
            <w:pPr>
              <w:pStyle w:val="NormalWeb"/>
              <w:shd w:val="clear" w:color="auto" w:fill="D6E3BC" w:themeFill="accent3" w:themeFillTint="66"/>
              <w:spacing w:before="0" w:beforeAutospacing="0" w:after="0" w:afterAutospacing="0"/>
              <w:textAlignment w:val="baseline"/>
              <w:rPr>
                <w:rFonts w:asciiTheme="minorHAnsi" w:hAnsiTheme="minorHAnsi" w:cstheme="minorHAnsi"/>
                <w:color w:val="191919"/>
                <w:sz w:val="22"/>
                <w:szCs w:val="22"/>
              </w:rPr>
            </w:pPr>
            <w:r w:rsidRPr="00FA4498">
              <w:rPr>
                <w:rFonts w:asciiTheme="minorHAnsi" w:hAnsiTheme="minorHAnsi" w:cstheme="minorHAnsi"/>
                <w:color w:val="191919"/>
                <w:sz w:val="22"/>
                <w:szCs w:val="22"/>
              </w:rPr>
              <w:t>During his 3-month residency at Turner Contemporary as the ARMB recipient, Oliver engaged local audiences in the rich heritage and materiality of basket weaving, drawing on links to the gallery’s seaside location, occupational therapy, and the obsolescence of craft.</w:t>
            </w:r>
          </w:p>
          <w:p w14:paraId="63CCE501" w14:textId="77777777" w:rsidR="00FA4498" w:rsidRPr="00FA4498" w:rsidRDefault="00FA4498" w:rsidP="00FA4498">
            <w:pPr>
              <w:pStyle w:val="NormalWeb"/>
              <w:shd w:val="clear" w:color="auto" w:fill="D6E3BC" w:themeFill="accent3" w:themeFillTint="66"/>
              <w:spacing w:before="0" w:beforeAutospacing="0" w:after="0" w:afterAutospacing="0"/>
              <w:textAlignment w:val="baseline"/>
              <w:rPr>
                <w:rFonts w:asciiTheme="minorHAnsi" w:hAnsiTheme="minorHAnsi" w:cstheme="minorHAnsi"/>
                <w:color w:val="191919"/>
                <w:sz w:val="22"/>
                <w:szCs w:val="22"/>
              </w:rPr>
            </w:pPr>
            <w:r w:rsidRPr="00FA4498">
              <w:rPr>
                <w:rFonts w:asciiTheme="minorHAnsi" w:hAnsiTheme="minorHAnsi" w:cstheme="minorHAnsi"/>
                <w:color w:val="191919"/>
                <w:sz w:val="22"/>
                <w:szCs w:val="22"/>
              </w:rPr>
              <w:lastRenderedPageBreak/>
              <w:t>In his durational performance piece ‘Underwater Basket Weaving’ Oliver wove a traditional lobster pot inside a fabricated diving bell. The performance reflected the title phrase, commenting on the presumed worth of an arts education.</w:t>
            </w:r>
          </w:p>
          <w:p w14:paraId="467A3D31" w14:textId="77777777" w:rsidR="00FA4498" w:rsidRPr="00FA4498" w:rsidRDefault="00FA4498" w:rsidP="00FA4498">
            <w:pPr>
              <w:pStyle w:val="NormalWeb"/>
              <w:shd w:val="clear" w:color="auto" w:fill="D6E3BC" w:themeFill="accent3" w:themeFillTint="66"/>
              <w:spacing w:before="0" w:beforeAutospacing="0" w:after="0" w:afterAutospacing="0"/>
              <w:textAlignment w:val="baseline"/>
              <w:rPr>
                <w:rFonts w:asciiTheme="minorHAnsi" w:hAnsiTheme="minorHAnsi" w:cstheme="minorHAnsi"/>
                <w:color w:val="191919"/>
                <w:sz w:val="20"/>
                <w:szCs w:val="20"/>
              </w:rPr>
            </w:pPr>
            <w:r w:rsidRPr="00FA4498">
              <w:rPr>
                <w:rFonts w:asciiTheme="minorHAnsi" w:hAnsiTheme="minorHAnsi" w:cstheme="minorHAnsi"/>
                <w:color w:val="191919"/>
                <w:sz w:val="22"/>
                <w:szCs w:val="22"/>
              </w:rPr>
              <w:t>This exhibition presents recent works alongside an installation where audiences are invited to immerse themselves into Oliver’s pseudo-studio</w:t>
            </w:r>
            <w:r w:rsidRPr="00FA4498">
              <w:rPr>
                <w:rFonts w:asciiTheme="minorHAnsi" w:hAnsiTheme="minorHAnsi" w:cstheme="minorHAnsi"/>
                <w:color w:val="191919"/>
                <w:sz w:val="20"/>
                <w:szCs w:val="20"/>
              </w:rPr>
              <w:t>.</w:t>
            </w:r>
          </w:p>
          <w:p w14:paraId="5A8A54DE" w14:textId="77777777" w:rsidR="003A2D58" w:rsidRDefault="003A2D58"/>
        </w:tc>
        <w:tc>
          <w:tcPr>
            <w:tcW w:w="1337" w:type="dxa"/>
            <w:shd w:val="clear" w:color="auto" w:fill="D6E3BC" w:themeFill="accent3" w:themeFillTint="66"/>
          </w:tcPr>
          <w:p w14:paraId="07E6C136" w14:textId="77777777" w:rsidR="003A2D58" w:rsidRDefault="003A2D58">
            <w:r>
              <w:lastRenderedPageBreak/>
              <w:t>Live</w:t>
            </w:r>
          </w:p>
        </w:tc>
      </w:tr>
      <w:tr w:rsidR="003A2D58" w14:paraId="16601E60" w14:textId="77777777" w:rsidTr="003A2D58">
        <w:tc>
          <w:tcPr>
            <w:tcW w:w="2660" w:type="dxa"/>
            <w:shd w:val="clear" w:color="auto" w:fill="D6E3BC" w:themeFill="accent3" w:themeFillTint="66"/>
          </w:tcPr>
          <w:p w14:paraId="18E90131" w14:textId="77777777" w:rsidR="003A2D58" w:rsidRDefault="003A2D58">
            <w:r>
              <w:t>Square Peg Artist in Residence.</w:t>
            </w:r>
          </w:p>
        </w:tc>
        <w:tc>
          <w:tcPr>
            <w:tcW w:w="5245" w:type="dxa"/>
            <w:shd w:val="clear" w:color="auto" w:fill="D6E3BC" w:themeFill="accent3" w:themeFillTint="66"/>
          </w:tcPr>
          <w:p w14:paraId="3DDF832D" w14:textId="77777777" w:rsidR="00C56347" w:rsidRPr="00C5295F" w:rsidRDefault="00C56347" w:rsidP="00C56347">
            <w:pPr>
              <w:rPr>
                <w:b/>
              </w:rPr>
            </w:pPr>
            <w:r w:rsidRPr="00C5295F">
              <w:rPr>
                <w:b/>
              </w:rPr>
              <w:t>Square Peg Resident – Residency/Engagement/legacy/exhibition</w:t>
            </w:r>
          </w:p>
          <w:p w14:paraId="42B82F09" w14:textId="77777777" w:rsidR="00C56347" w:rsidRDefault="00C56347" w:rsidP="00C56347">
            <w:r>
              <w:t xml:space="preserve">The Square Peg artist in residence will follow all the elements of the programme and create a body of work over the course of the project. This work will respond directly to the programme and will be informed by the DAN/focus group and other participants. The </w:t>
            </w:r>
            <w:proofErr w:type="spellStart"/>
            <w:r>
              <w:t>artsist</w:t>
            </w:r>
            <w:proofErr w:type="spellEnd"/>
            <w:r>
              <w:t xml:space="preserve"> may also deliver their own workshops.</w:t>
            </w:r>
          </w:p>
          <w:p w14:paraId="2EF1565F" w14:textId="77777777" w:rsidR="00C56347" w:rsidRDefault="00C56347" w:rsidP="00C56347"/>
          <w:p w14:paraId="7B8B35C7" w14:textId="77777777" w:rsidR="003A2D58" w:rsidRDefault="00C56347">
            <w:r>
              <w:t xml:space="preserve">The work will be exhibited in Artlink’s main Gallery space during early 2018 and will act as a creative evaluation of the programme.  All participants of the square peg programme will be invited to a celebration of the project. </w:t>
            </w:r>
          </w:p>
          <w:p w14:paraId="269B0722" w14:textId="77777777" w:rsidR="00C56347" w:rsidRDefault="00C56347"/>
        </w:tc>
        <w:tc>
          <w:tcPr>
            <w:tcW w:w="1337" w:type="dxa"/>
            <w:shd w:val="clear" w:color="auto" w:fill="D6E3BC" w:themeFill="accent3" w:themeFillTint="66"/>
          </w:tcPr>
          <w:p w14:paraId="246D764D" w14:textId="77777777" w:rsidR="003A2D58" w:rsidRDefault="003A2D58">
            <w:r>
              <w:t>Live</w:t>
            </w:r>
          </w:p>
        </w:tc>
      </w:tr>
      <w:tr w:rsidR="003A2D58" w14:paraId="76CB61B9" w14:textId="77777777" w:rsidTr="003A2D58">
        <w:tc>
          <w:tcPr>
            <w:tcW w:w="2660" w:type="dxa"/>
            <w:shd w:val="clear" w:color="auto" w:fill="D6E3BC" w:themeFill="accent3" w:themeFillTint="66"/>
          </w:tcPr>
          <w:p w14:paraId="0079F769" w14:textId="77777777" w:rsidR="003A2D58" w:rsidRDefault="003A2D58">
            <w:r>
              <w:t>DAN</w:t>
            </w:r>
          </w:p>
        </w:tc>
        <w:tc>
          <w:tcPr>
            <w:tcW w:w="5245" w:type="dxa"/>
            <w:shd w:val="clear" w:color="auto" w:fill="D6E3BC" w:themeFill="accent3" w:themeFillTint="66"/>
          </w:tcPr>
          <w:p w14:paraId="621522E7" w14:textId="77777777" w:rsidR="00C56347" w:rsidRPr="00571ACD" w:rsidRDefault="00C56347" w:rsidP="00C56347">
            <w:pPr>
              <w:rPr>
                <w:rFonts w:cstheme="minorHAnsi"/>
                <w:b/>
              </w:rPr>
            </w:pPr>
            <w:r w:rsidRPr="00571ACD">
              <w:rPr>
                <w:rFonts w:cstheme="minorHAnsi"/>
                <w:b/>
              </w:rPr>
              <w:t>DAN/Focus Group – Engagement/Learning</w:t>
            </w:r>
          </w:p>
          <w:p w14:paraId="5FE8D4C1" w14:textId="77777777" w:rsidR="00C56347" w:rsidRPr="00571ACD" w:rsidRDefault="00C56347" w:rsidP="00C56347">
            <w:pPr>
              <w:rPr>
                <w:rFonts w:cstheme="minorHAnsi"/>
                <w:b/>
                <w:u w:val="single"/>
              </w:rPr>
            </w:pPr>
          </w:p>
          <w:p w14:paraId="0236D772" w14:textId="77777777" w:rsidR="00C56347" w:rsidRDefault="00C56347" w:rsidP="00C56347">
            <w:pPr>
              <w:rPr>
                <w:rFonts w:cstheme="minorHAnsi"/>
              </w:rPr>
            </w:pPr>
            <w:r w:rsidRPr="00571ACD">
              <w:rPr>
                <w:rFonts w:cstheme="minorHAnsi"/>
              </w:rPr>
              <w:t xml:space="preserve">Artlink created a Disability Arts Network made up of service users, disability organisations, disabled artists, local press, and the wider community. The DAN meets quarterly and discusses opportunities and relevant issues for disabled people accessing cultural events. </w:t>
            </w:r>
          </w:p>
          <w:p w14:paraId="0CF3D00A" w14:textId="77777777" w:rsidR="00ED2D46" w:rsidRDefault="00ED2D46" w:rsidP="00C56347">
            <w:pPr>
              <w:rPr>
                <w:rFonts w:cstheme="minorHAnsi"/>
              </w:rPr>
            </w:pPr>
          </w:p>
          <w:p w14:paraId="0080B5C7" w14:textId="77777777" w:rsidR="00ED2D46" w:rsidRPr="00571ACD" w:rsidRDefault="00ED2D46" w:rsidP="00C56347">
            <w:pPr>
              <w:rPr>
                <w:rFonts w:cstheme="minorHAnsi"/>
                <w:b/>
                <w:u w:val="single"/>
              </w:rPr>
            </w:pPr>
            <w:r>
              <w:rPr>
                <w:rFonts w:cstheme="minorHAnsi"/>
              </w:rPr>
              <w:t>We have hosted 2 DAN meetings so far and one master class. We have 2 more meetings scheduled and a minimum of three more master classes.</w:t>
            </w:r>
          </w:p>
          <w:p w14:paraId="64CA48DB" w14:textId="77777777" w:rsidR="003A2D58" w:rsidRDefault="003A2D58"/>
        </w:tc>
        <w:tc>
          <w:tcPr>
            <w:tcW w:w="1337" w:type="dxa"/>
            <w:shd w:val="clear" w:color="auto" w:fill="D6E3BC" w:themeFill="accent3" w:themeFillTint="66"/>
          </w:tcPr>
          <w:p w14:paraId="3F59E5A3" w14:textId="77777777" w:rsidR="003A2D58" w:rsidRDefault="003A2D58">
            <w:r>
              <w:t>Live</w:t>
            </w:r>
          </w:p>
        </w:tc>
      </w:tr>
      <w:tr w:rsidR="003A2D58" w14:paraId="1B47200A" w14:textId="77777777" w:rsidTr="003A2D58">
        <w:tc>
          <w:tcPr>
            <w:tcW w:w="2660" w:type="dxa"/>
            <w:shd w:val="clear" w:color="auto" w:fill="D6E3BC" w:themeFill="accent3" w:themeFillTint="66"/>
          </w:tcPr>
          <w:p w14:paraId="7370E94B" w14:textId="77777777" w:rsidR="00C56347" w:rsidRDefault="003A2D58">
            <w:r>
              <w:t>Focus Group</w:t>
            </w:r>
          </w:p>
        </w:tc>
        <w:tc>
          <w:tcPr>
            <w:tcW w:w="5245" w:type="dxa"/>
            <w:shd w:val="clear" w:color="auto" w:fill="D6E3BC" w:themeFill="accent3" w:themeFillTint="66"/>
          </w:tcPr>
          <w:p w14:paraId="4DB2E273" w14:textId="77777777" w:rsidR="003A2D58" w:rsidRDefault="00995F86">
            <w:r>
              <w:t>The Focus group has been delayed. The group begins in June and will continue to meet monthly. Through the knowledge we have built so far in Square Peg the group will develop and deliver a creative project to fill a gap that they will identify as a group.</w:t>
            </w:r>
          </w:p>
        </w:tc>
        <w:tc>
          <w:tcPr>
            <w:tcW w:w="1337" w:type="dxa"/>
            <w:shd w:val="clear" w:color="auto" w:fill="D6E3BC" w:themeFill="accent3" w:themeFillTint="66"/>
          </w:tcPr>
          <w:p w14:paraId="62A62786" w14:textId="77777777" w:rsidR="00C56347" w:rsidRDefault="003A2D58">
            <w:r>
              <w:t>Live</w:t>
            </w:r>
          </w:p>
        </w:tc>
      </w:tr>
      <w:tr w:rsidR="00C56347" w14:paraId="1EA01837" w14:textId="77777777" w:rsidTr="003A2D58">
        <w:tc>
          <w:tcPr>
            <w:tcW w:w="2660" w:type="dxa"/>
            <w:shd w:val="clear" w:color="auto" w:fill="D6E3BC" w:themeFill="accent3" w:themeFillTint="66"/>
          </w:tcPr>
          <w:p w14:paraId="12A4E9BD" w14:textId="77777777" w:rsidR="00C56347" w:rsidRDefault="00C56347">
            <w:r>
              <w:t>The Dyslexia Portrait</w:t>
            </w:r>
          </w:p>
          <w:p w14:paraId="5BA7C3C9" w14:textId="77777777" w:rsidR="00ED2D46" w:rsidRDefault="00ED2D46"/>
          <w:p w14:paraId="4E0EE4D7" w14:textId="77777777" w:rsidR="00ED2D46" w:rsidRDefault="00ED2D46">
            <w:r>
              <w:t xml:space="preserve">October 2017 </w:t>
            </w:r>
          </w:p>
          <w:p w14:paraId="2C6DD862" w14:textId="77777777" w:rsidR="00ED2D46" w:rsidRDefault="00ED2D46">
            <w:r>
              <w:t>Dates tbc</w:t>
            </w:r>
          </w:p>
        </w:tc>
        <w:tc>
          <w:tcPr>
            <w:tcW w:w="5245" w:type="dxa"/>
            <w:shd w:val="clear" w:color="auto" w:fill="D6E3BC" w:themeFill="accent3" w:themeFillTint="66"/>
          </w:tcPr>
          <w:p w14:paraId="0D12FDFF" w14:textId="77777777" w:rsidR="00ED2D46" w:rsidRPr="00254014" w:rsidRDefault="00ED2D46" w:rsidP="00ED2D46">
            <w:pPr>
              <w:pStyle w:val="font8"/>
              <w:spacing w:before="0" w:beforeAutospacing="0" w:after="0" w:afterAutospacing="0"/>
              <w:textAlignment w:val="baseline"/>
              <w:rPr>
                <w:rFonts w:asciiTheme="minorHAnsi" w:hAnsiTheme="minorHAnsi" w:cstheme="minorHAnsi"/>
                <w:color w:val="FBD8D4"/>
                <w:sz w:val="22"/>
                <w:szCs w:val="22"/>
              </w:rPr>
            </w:pPr>
            <w:r w:rsidRPr="00254014">
              <w:rPr>
                <w:rFonts w:asciiTheme="minorHAnsi" w:hAnsiTheme="minorHAnsi" w:cstheme="minorHAnsi"/>
                <w:color w:val="000000"/>
                <w:sz w:val="22"/>
                <w:szCs w:val="22"/>
                <w:bdr w:val="none" w:sz="0" w:space="0" w:color="auto" w:frame="1"/>
              </w:rPr>
              <w:t>“I want to collaborate with people with dyslexia to produce an image of what their experience of dyslexia is like, with the aim of producing a bank of images that can be used to both challenge the 'static' view of the dyslexic experience, and can further be used as teaching and learning resources for anyone seeking a wider understanding of dyslexia”</w:t>
            </w:r>
          </w:p>
          <w:p w14:paraId="2CA6E3AC" w14:textId="77777777" w:rsidR="00ED2D46" w:rsidRPr="00254014" w:rsidRDefault="00ED2D46" w:rsidP="00ED2D46">
            <w:pPr>
              <w:pStyle w:val="font8"/>
              <w:spacing w:before="0" w:beforeAutospacing="0" w:after="0" w:afterAutospacing="0"/>
              <w:textAlignment w:val="baseline"/>
              <w:rPr>
                <w:rFonts w:asciiTheme="minorHAnsi" w:hAnsiTheme="minorHAnsi" w:cstheme="minorHAnsi"/>
                <w:color w:val="FBD8D4"/>
                <w:sz w:val="22"/>
                <w:szCs w:val="22"/>
              </w:rPr>
            </w:pPr>
            <w:r w:rsidRPr="00254014">
              <w:rPr>
                <w:rFonts w:asciiTheme="minorHAnsi" w:hAnsiTheme="minorHAnsi" w:cstheme="minorHAnsi"/>
                <w:color w:val="FBD8D4"/>
                <w:sz w:val="22"/>
                <w:szCs w:val="22"/>
              </w:rPr>
              <w:t> </w:t>
            </w:r>
          </w:p>
          <w:p w14:paraId="197914A1" w14:textId="77777777" w:rsidR="00ED2D46" w:rsidRPr="00254014" w:rsidRDefault="00ED2D46" w:rsidP="00ED2D46">
            <w:pPr>
              <w:pStyle w:val="font8"/>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254014">
              <w:rPr>
                <w:rFonts w:asciiTheme="minorHAnsi" w:hAnsiTheme="minorHAnsi" w:cstheme="minorHAnsi"/>
                <w:color w:val="000000"/>
                <w:sz w:val="22"/>
                <w:szCs w:val="22"/>
                <w:bdr w:val="none" w:sz="0" w:space="0" w:color="auto" w:frame="1"/>
              </w:rPr>
              <w:t xml:space="preserve">The Dyslexia Portrait is aimed mainly at adults with dyslexia, and it doesn't matter whether you have a </w:t>
            </w:r>
            <w:r w:rsidRPr="00254014">
              <w:rPr>
                <w:rFonts w:asciiTheme="minorHAnsi" w:hAnsiTheme="minorHAnsi" w:cstheme="minorHAnsi"/>
                <w:color w:val="000000"/>
                <w:sz w:val="22"/>
                <w:szCs w:val="22"/>
                <w:bdr w:val="none" w:sz="0" w:space="0" w:color="auto" w:frame="1"/>
              </w:rPr>
              <w:lastRenderedPageBreak/>
              <w:t>formal diagnosis or not. I am inviting you to share your experience of dyslexia; tell the world how it affects you and what happens when you read, work, see, or try and remember something.</w:t>
            </w:r>
          </w:p>
          <w:p w14:paraId="5519217B" w14:textId="77777777" w:rsidR="00ED2D46" w:rsidRPr="00254014" w:rsidRDefault="00ED2D46" w:rsidP="00ED2D46">
            <w:pPr>
              <w:pStyle w:val="font8"/>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40263FFA" w14:textId="77777777" w:rsidR="00ED2D46" w:rsidRPr="00254014" w:rsidRDefault="00ED2D46" w:rsidP="00ED2D46">
            <w:pPr>
              <w:pStyle w:val="font8"/>
              <w:spacing w:before="0" w:beforeAutospacing="0" w:after="0" w:afterAutospacing="0"/>
              <w:textAlignment w:val="baseline"/>
              <w:rPr>
                <w:rFonts w:asciiTheme="minorHAnsi" w:hAnsiTheme="minorHAnsi" w:cstheme="minorHAnsi"/>
                <w:color w:val="FBD8D4"/>
                <w:sz w:val="22"/>
                <w:szCs w:val="22"/>
              </w:rPr>
            </w:pPr>
            <w:r w:rsidRPr="00254014">
              <w:rPr>
                <w:rFonts w:asciiTheme="minorHAnsi" w:hAnsiTheme="minorHAnsi" w:cstheme="minorHAnsi"/>
                <w:color w:val="000000"/>
                <w:sz w:val="22"/>
                <w:szCs w:val="22"/>
                <w:bdr w:val="none" w:sz="0" w:space="0" w:color="auto" w:frame="1"/>
              </w:rPr>
              <w:t xml:space="preserve">This exhibition will be hosted at Hull university in the </w:t>
            </w:r>
            <w:proofErr w:type="spellStart"/>
            <w:r w:rsidRPr="00254014">
              <w:rPr>
                <w:rFonts w:asciiTheme="minorHAnsi" w:hAnsiTheme="minorHAnsi" w:cstheme="minorHAnsi"/>
                <w:color w:val="000000"/>
                <w:sz w:val="22"/>
                <w:szCs w:val="22"/>
                <w:bdr w:val="none" w:sz="0" w:space="0" w:color="auto" w:frame="1"/>
              </w:rPr>
              <w:t>Brynmor</w:t>
            </w:r>
            <w:proofErr w:type="spellEnd"/>
            <w:r w:rsidRPr="00254014">
              <w:rPr>
                <w:rFonts w:asciiTheme="minorHAnsi" w:hAnsiTheme="minorHAnsi" w:cstheme="minorHAnsi"/>
                <w:color w:val="000000"/>
                <w:sz w:val="22"/>
                <w:szCs w:val="22"/>
                <w:bdr w:val="none" w:sz="0" w:space="0" w:color="auto" w:frame="1"/>
              </w:rPr>
              <w:t xml:space="preserve"> Jones entrance hall.</w:t>
            </w:r>
          </w:p>
          <w:p w14:paraId="167140ED" w14:textId="77777777" w:rsidR="00C56347" w:rsidRPr="00254014" w:rsidRDefault="00C56347">
            <w:pPr>
              <w:rPr>
                <w:rFonts w:cstheme="minorHAnsi"/>
              </w:rPr>
            </w:pPr>
          </w:p>
        </w:tc>
        <w:tc>
          <w:tcPr>
            <w:tcW w:w="1337" w:type="dxa"/>
            <w:shd w:val="clear" w:color="auto" w:fill="D6E3BC" w:themeFill="accent3" w:themeFillTint="66"/>
          </w:tcPr>
          <w:p w14:paraId="11D4752E" w14:textId="77777777" w:rsidR="00C56347" w:rsidRDefault="00C56347"/>
        </w:tc>
      </w:tr>
      <w:tr w:rsidR="003A2D58" w14:paraId="3507D204" w14:textId="77777777" w:rsidTr="003A2D58">
        <w:tc>
          <w:tcPr>
            <w:tcW w:w="2660" w:type="dxa"/>
            <w:shd w:val="clear" w:color="auto" w:fill="E5B8B7" w:themeFill="accent2" w:themeFillTint="66"/>
          </w:tcPr>
          <w:p w14:paraId="7ECDB9C9" w14:textId="77777777" w:rsidR="003A2D58" w:rsidRDefault="003A2D58">
            <w:r>
              <w:t>Visible Girls Engagement</w:t>
            </w:r>
          </w:p>
        </w:tc>
        <w:tc>
          <w:tcPr>
            <w:tcW w:w="5245" w:type="dxa"/>
            <w:shd w:val="clear" w:color="auto" w:fill="E5B8B7" w:themeFill="accent2" w:themeFillTint="66"/>
          </w:tcPr>
          <w:p w14:paraId="355D62FC" w14:textId="77777777" w:rsidR="00254014" w:rsidRPr="00254014" w:rsidRDefault="00254014" w:rsidP="00254014">
            <w:pPr>
              <w:rPr>
                <w:rFonts w:cstheme="minorHAnsi"/>
              </w:rPr>
            </w:pPr>
            <w:r w:rsidRPr="00254014">
              <w:rPr>
                <w:rFonts w:cstheme="minorHAnsi"/>
              </w:rPr>
              <w:t>In 1981, photographer Anita Corbin captured pivotal "coming of age" moments in the life of 56 young women - all members of different subcultures. The result was an extraordinary collection of portraits against a backdrop of heightened social, cultural and political change. The Skins, Mods, Punks, Rockabillies, New Romantics, Rasta's and young lesbians that Anita photographed represented a new movement of female empowerment.</w:t>
            </w:r>
          </w:p>
          <w:p w14:paraId="5AAB26E6" w14:textId="77777777" w:rsidR="00254014" w:rsidRPr="00254014" w:rsidRDefault="00254014" w:rsidP="00254014">
            <w:pPr>
              <w:rPr>
                <w:rFonts w:cstheme="minorHAnsi"/>
              </w:rPr>
            </w:pPr>
            <w:r w:rsidRPr="00254014">
              <w:rPr>
                <w:rFonts w:cstheme="minorHAnsi"/>
              </w:rPr>
              <w:t>Now, 36 years later, Anita is asking where those girls are? What's happened to all those women who were so dedicated to their sub cultural tribes and what's happened to their dreams and beliefs? With the help of an Arts Council Grant Anita has re-photograph most of the original girls using new digital technology to create a set of images that will sit alongside the originals in a touring exhibition opening at Artlink. Using tape recordings of interviews from 1981 and recent interviews with the ‘girls' 36 years on, the exhibition brings together two parts of a woman's life and interweaves societal changes related to communication and women's rights.</w:t>
            </w:r>
          </w:p>
          <w:p w14:paraId="73003F16" w14:textId="77777777" w:rsidR="00254014" w:rsidRPr="00254014" w:rsidRDefault="00254014" w:rsidP="00254014">
            <w:pPr>
              <w:rPr>
                <w:rFonts w:cstheme="minorHAnsi"/>
              </w:rPr>
            </w:pPr>
          </w:p>
          <w:p w14:paraId="6B8120A8" w14:textId="77777777" w:rsidR="00254014" w:rsidRPr="00254014" w:rsidRDefault="00254014" w:rsidP="00254014">
            <w:pPr>
              <w:rPr>
                <w:rFonts w:cstheme="minorHAnsi"/>
              </w:rPr>
            </w:pPr>
            <w:r w:rsidRPr="00254014">
              <w:rPr>
                <w:rFonts w:cstheme="minorHAnsi"/>
              </w:rPr>
              <w:t xml:space="preserve">This exhibition will be opening in the gallery Space at Artlink alongside the Leanne Broadbent spotlight show. </w:t>
            </w:r>
          </w:p>
          <w:p w14:paraId="53CEBC00" w14:textId="77777777" w:rsidR="00254014" w:rsidRPr="00254014" w:rsidRDefault="00254014" w:rsidP="00254014">
            <w:pPr>
              <w:rPr>
                <w:rFonts w:cstheme="minorHAnsi"/>
              </w:rPr>
            </w:pPr>
            <w:r w:rsidRPr="00254014">
              <w:rPr>
                <w:rFonts w:cstheme="minorHAnsi"/>
              </w:rPr>
              <w:t> </w:t>
            </w:r>
          </w:p>
          <w:p w14:paraId="3D0F264A" w14:textId="77777777" w:rsidR="00254014" w:rsidRPr="00254014" w:rsidRDefault="00254014" w:rsidP="00254014">
            <w:pPr>
              <w:rPr>
                <w:rFonts w:cstheme="minorHAnsi"/>
              </w:rPr>
            </w:pPr>
            <w:r w:rsidRPr="00254014">
              <w:rPr>
                <w:rFonts w:cstheme="minorHAnsi"/>
              </w:rPr>
              <w:t>We will also run a small programme of engagement though funding from Square pegs looking at Anita’s work and themes surrounding this , we expect to facilitate conversations around culture, women and subcultures</w:t>
            </w:r>
          </w:p>
          <w:p w14:paraId="093CBA01" w14:textId="77777777" w:rsidR="003A2D58" w:rsidRPr="00254014" w:rsidRDefault="003A2D58"/>
        </w:tc>
        <w:tc>
          <w:tcPr>
            <w:tcW w:w="1337" w:type="dxa"/>
            <w:shd w:val="clear" w:color="auto" w:fill="E5B8B7" w:themeFill="accent2" w:themeFillTint="66"/>
          </w:tcPr>
          <w:p w14:paraId="79B87906" w14:textId="77777777" w:rsidR="003A2D58" w:rsidRDefault="003A2D58">
            <w:r>
              <w:t>Planning</w:t>
            </w:r>
          </w:p>
        </w:tc>
      </w:tr>
      <w:tr w:rsidR="003A2D58" w14:paraId="3CF151EB" w14:textId="77777777" w:rsidTr="003A2D58">
        <w:tc>
          <w:tcPr>
            <w:tcW w:w="2660" w:type="dxa"/>
            <w:shd w:val="clear" w:color="auto" w:fill="E5B8B7" w:themeFill="accent2" w:themeFillTint="66"/>
          </w:tcPr>
          <w:p w14:paraId="0810C098" w14:textId="77777777" w:rsidR="003A2D58" w:rsidRDefault="003A2D58">
            <w:r>
              <w:t>John Walters – Alien Sex Capsule</w:t>
            </w:r>
          </w:p>
        </w:tc>
        <w:tc>
          <w:tcPr>
            <w:tcW w:w="5245" w:type="dxa"/>
            <w:shd w:val="clear" w:color="auto" w:fill="E5B8B7" w:themeFill="accent2" w:themeFillTint="66"/>
          </w:tcPr>
          <w:p w14:paraId="05B9323B" w14:textId="77777777" w:rsidR="00C56347" w:rsidRPr="003B2CDD" w:rsidRDefault="00C56347" w:rsidP="00C56347">
            <w:pPr>
              <w:rPr>
                <w:b/>
              </w:rPr>
            </w:pPr>
            <w:r w:rsidRPr="003B2CDD">
              <w:rPr>
                <w:b/>
              </w:rPr>
              <w:t>Alien Sex Club – Exhibition</w:t>
            </w:r>
          </w:p>
          <w:p w14:paraId="2CC8BEF4" w14:textId="77777777" w:rsidR="00C56347" w:rsidRDefault="00C56347" w:rsidP="00C56347">
            <w:r w:rsidRPr="00703098">
              <w:rPr>
                <w:b/>
              </w:rPr>
              <w:t>Alien Sex Capsule</w:t>
            </w:r>
            <w:r>
              <w:t xml:space="preserve"> – August to September (Installation)</w:t>
            </w:r>
          </w:p>
          <w:p w14:paraId="2C524EFD" w14:textId="77777777" w:rsidR="00C56347" w:rsidRDefault="00C56347" w:rsidP="00C56347"/>
          <w:p w14:paraId="6CAD0A29" w14:textId="77777777" w:rsidR="00C56347" w:rsidRDefault="00C56347" w:rsidP="00C56347">
            <w:r>
              <w:t xml:space="preserve">John Walter is the creator of Alien Sex </w:t>
            </w:r>
            <w:proofErr w:type="gramStart"/>
            <w:r>
              <w:t>Club,</w:t>
            </w:r>
            <w:proofErr w:type="gramEnd"/>
            <w:r>
              <w:t xml:space="preserve"> he will produce a small version of this show at Artlink. He has just produced a PHD around capsid’s the strand of infection that carries Aids. The show will be immersive and </w:t>
            </w:r>
            <w:proofErr w:type="gramStart"/>
            <w:r>
              <w:t>silly,</w:t>
            </w:r>
            <w:proofErr w:type="gramEnd"/>
            <w:r>
              <w:t xml:space="preserve"> it will be controversial with explicit imagery. The idea is audiences are instantly attracted to the work and see it as fun and engaging they are then hit with the scientific research and exploration into Aids the way </w:t>
            </w:r>
            <w:r>
              <w:lastRenderedPageBreak/>
              <w:t xml:space="preserve">its discussed in the 80’s and now. </w:t>
            </w:r>
          </w:p>
          <w:p w14:paraId="456BC752" w14:textId="77777777" w:rsidR="003A2D58" w:rsidRDefault="003A2D58"/>
        </w:tc>
        <w:tc>
          <w:tcPr>
            <w:tcW w:w="1337" w:type="dxa"/>
            <w:shd w:val="clear" w:color="auto" w:fill="E5B8B7" w:themeFill="accent2" w:themeFillTint="66"/>
          </w:tcPr>
          <w:p w14:paraId="52CA7B84" w14:textId="77777777" w:rsidR="003A2D58" w:rsidRDefault="003A2D58">
            <w:r>
              <w:lastRenderedPageBreak/>
              <w:t>Planning</w:t>
            </w:r>
          </w:p>
        </w:tc>
      </w:tr>
      <w:tr w:rsidR="003A2D58" w14:paraId="15C54AEE" w14:textId="77777777" w:rsidTr="003A2D58">
        <w:tc>
          <w:tcPr>
            <w:tcW w:w="2660" w:type="dxa"/>
            <w:shd w:val="clear" w:color="auto" w:fill="E5B8B7" w:themeFill="accent2" w:themeFillTint="66"/>
          </w:tcPr>
          <w:p w14:paraId="10E06B7B" w14:textId="77777777" w:rsidR="003A2D58" w:rsidRDefault="003A2D58">
            <w:r>
              <w:t>Centre Of Attention</w:t>
            </w:r>
          </w:p>
        </w:tc>
        <w:tc>
          <w:tcPr>
            <w:tcW w:w="5245" w:type="dxa"/>
            <w:shd w:val="clear" w:color="auto" w:fill="E5B8B7" w:themeFill="accent2" w:themeFillTint="66"/>
          </w:tcPr>
          <w:p w14:paraId="0C880FA0" w14:textId="77777777" w:rsidR="007521B7" w:rsidRDefault="007521B7" w:rsidP="007521B7">
            <w:r>
              <w:t>This project will take place in the centre of Hull during the season ‘Tell The World’.</w:t>
            </w:r>
          </w:p>
          <w:p w14:paraId="5ACC1A9B" w14:textId="77777777" w:rsidR="007521B7" w:rsidRDefault="007521B7" w:rsidP="007521B7"/>
          <w:p w14:paraId="63258FF6" w14:textId="77777777" w:rsidR="007521B7" w:rsidRDefault="007521B7" w:rsidP="007521B7">
            <w:r w:rsidRPr="007521B7">
              <w:t>Centre of attention is a city centre based exhibition. Working in partnership with The Alternative Limb Project and Fly Girl Films we will create an exhibition of bespoke prosthetic limbs and the process behind their creation.</w:t>
            </w:r>
          </w:p>
          <w:p w14:paraId="3310C089" w14:textId="77777777" w:rsidR="007521B7" w:rsidRDefault="007521B7" w:rsidP="007521B7"/>
          <w:p w14:paraId="24B71E63" w14:textId="77777777" w:rsidR="007521B7" w:rsidRDefault="007521B7" w:rsidP="007521B7">
            <w:r>
              <w:t xml:space="preserve">We have confirmed that we are working with: The Alternative limb project, Fly Girl Films, and </w:t>
            </w:r>
            <w:proofErr w:type="spellStart"/>
            <w:r>
              <w:t>Omkaar</w:t>
            </w:r>
            <w:proofErr w:type="spellEnd"/>
            <w:r>
              <w:t xml:space="preserve"> </w:t>
            </w:r>
            <w:proofErr w:type="spellStart"/>
            <w:r>
              <w:t>Kotedia</w:t>
            </w:r>
            <w:proofErr w:type="spellEnd"/>
            <w:r>
              <w:t>.</w:t>
            </w:r>
          </w:p>
          <w:p w14:paraId="201594E8" w14:textId="77777777" w:rsidR="003A2D58" w:rsidRDefault="003A2D58"/>
        </w:tc>
        <w:tc>
          <w:tcPr>
            <w:tcW w:w="1337" w:type="dxa"/>
            <w:shd w:val="clear" w:color="auto" w:fill="E5B8B7" w:themeFill="accent2" w:themeFillTint="66"/>
          </w:tcPr>
          <w:p w14:paraId="76FE530F" w14:textId="77777777" w:rsidR="003A2D58" w:rsidRDefault="003A2D58">
            <w:r>
              <w:t>Planning</w:t>
            </w:r>
          </w:p>
        </w:tc>
      </w:tr>
      <w:tr w:rsidR="003A2D58" w14:paraId="52ADCAB4" w14:textId="77777777" w:rsidTr="003A2D58">
        <w:tc>
          <w:tcPr>
            <w:tcW w:w="2660" w:type="dxa"/>
            <w:shd w:val="clear" w:color="auto" w:fill="E5B8B7" w:themeFill="accent2" w:themeFillTint="66"/>
          </w:tcPr>
          <w:p w14:paraId="4CD85644" w14:textId="77777777" w:rsidR="003A2D58" w:rsidRDefault="003A2D58">
            <w:r>
              <w:t>Learning module</w:t>
            </w:r>
          </w:p>
        </w:tc>
        <w:tc>
          <w:tcPr>
            <w:tcW w:w="5245" w:type="dxa"/>
            <w:shd w:val="clear" w:color="auto" w:fill="E5B8B7" w:themeFill="accent2" w:themeFillTint="66"/>
          </w:tcPr>
          <w:p w14:paraId="22724553" w14:textId="77777777" w:rsidR="00ED2D46" w:rsidRPr="001E40A4" w:rsidRDefault="00ED2D46" w:rsidP="00ED2D46">
            <w:pPr>
              <w:jc w:val="center"/>
              <w:rPr>
                <w:rFonts w:cstheme="minorHAnsi"/>
                <w:b/>
                <w:u w:val="single"/>
              </w:rPr>
            </w:pPr>
          </w:p>
          <w:p w14:paraId="14DA33BB" w14:textId="77777777" w:rsidR="00ED2D46" w:rsidRPr="001E40A4" w:rsidRDefault="00ED2D46" w:rsidP="00ED2D46">
            <w:pPr>
              <w:jc w:val="both"/>
              <w:rPr>
                <w:rFonts w:cstheme="minorHAnsi"/>
              </w:rPr>
            </w:pPr>
            <w:r w:rsidRPr="001E40A4">
              <w:rPr>
                <w:rFonts w:cstheme="minorHAnsi"/>
              </w:rPr>
              <w:t xml:space="preserve">As part of the Artlink Square Peg Project being delivered throughout Hull City of Culture 2017, a need has been identified to address diversity and equality in the arts. Extensive service experience in the sector recognises that the most effective means of impacting awareness on audiences would be the creation of a training module deliverable through training. </w:t>
            </w:r>
          </w:p>
          <w:p w14:paraId="11FF57B7" w14:textId="77777777" w:rsidR="00ED2D46" w:rsidRPr="001E40A4" w:rsidRDefault="00ED2D46" w:rsidP="00ED2D46">
            <w:pPr>
              <w:jc w:val="both"/>
              <w:rPr>
                <w:rFonts w:cstheme="minorHAnsi"/>
              </w:rPr>
            </w:pPr>
          </w:p>
          <w:p w14:paraId="0BD4C599" w14:textId="77777777" w:rsidR="00ED2D46" w:rsidRPr="001E40A4" w:rsidRDefault="00ED2D46" w:rsidP="00ED2D46">
            <w:pPr>
              <w:jc w:val="both"/>
              <w:rPr>
                <w:rFonts w:cstheme="minorHAnsi"/>
              </w:rPr>
            </w:pPr>
            <w:r w:rsidRPr="001E40A4">
              <w:rPr>
                <w:rFonts w:cstheme="minorHAnsi"/>
              </w:rPr>
              <w:t>The curriculum has considered the ACE Creative Case for Diversity, and it is intended to incorporate the three interlocking progressions of:</w:t>
            </w:r>
          </w:p>
          <w:p w14:paraId="7CAD484F" w14:textId="77777777" w:rsidR="00ED2D46" w:rsidRPr="001E40A4" w:rsidRDefault="00ED2D46" w:rsidP="00ED2D46">
            <w:pPr>
              <w:jc w:val="both"/>
              <w:rPr>
                <w:rFonts w:cstheme="minorHAnsi"/>
              </w:rPr>
            </w:pPr>
          </w:p>
          <w:p w14:paraId="1EBBF4B7" w14:textId="77777777" w:rsidR="00ED2D46" w:rsidRPr="001E40A4" w:rsidRDefault="00ED2D46" w:rsidP="00ED2D46">
            <w:pPr>
              <w:pStyle w:val="ListParagraph"/>
              <w:numPr>
                <w:ilvl w:val="0"/>
                <w:numId w:val="1"/>
              </w:numPr>
              <w:jc w:val="both"/>
              <w:rPr>
                <w:rFonts w:cstheme="minorHAnsi"/>
              </w:rPr>
            </w:pPr>
            <w:r w:rsidRPr="001E40A4">
              <w:rPr>
                <w:rFonts w:cstheme="minorHAnsi"/>
                <w:b/>
              </w:rPr>
              <w:t>Equality</w:t>
            </w:r>
            <w:r w:rsidRPr="001E40A4">
              <w:rPr>
                <w:rFonts w:cstheme="minorHAnsi"/>
              </w:rPr>
              <w:t xml:space="preserve"> by removing potential barriers to participation. </w:t>
            </w:r>
          </w:p>
          <w:p w14:paraId="2BA7C741" w14:textId="77777777" w:rsidR="00ED2D46" w:rsidRPr="001E40A4" w:rsidRDefault="00ED2D46" w:rsidP="00ED2D46">
            <w:pPr>
              <w:pStyle w:val="ListParagraph"/>
              <w:numPr>
                <w:ilvl w:val="0"/>
                <w:numId w:val="1"/>
              </w:numPr>
              <w:jc w:val="both"/>
              <w:rPr>
                <w:rFonts w:cstheme="minorHAnsi"/>
              </w:rPr>
            </w:pPr>
            <w:r w:rsidRPr="001E40A4">
              <w:rPr>
                <w:rFonts w:cstheme="minorHAnsi"/>
                <w:b/>
              </w:rPr>
              <w:t>Recognition</w:t>
            </w:r>
            <w:r w:rsidRPr="001E40A4">
              <w:rPr>
                <w:rFonts w:cstheme="minorHAnsi"/>
              </w:rPr>
              <w:t xml:space="preserve"> through conversation which will lead to the restoration of diverse artists.</w:t>
            </w:r>
          </w:p>
          <w:p w14:paraId="5E93D9FC" w14:textId="77777777" w:rsidR="00ED2D46" w:rsidRPr="001E40A4" w:rsidRDefault="00ED2D46" w:rsidP="00ED2D46">
            <w:pPr>
              <w:pStyle w:val="ListParagraph"/>
              <w:numPr>
                <w:ilvl w:val="0"/>
                <w:numId w:val="1"/>
              </w:numPr>
              <w:jc w:val="both"/>
              <w:rPr>
                <w:rFonts w:cstheme="minorHAnsi"/>
              </w:rPr>
            </w:pPr>
            <w:r w:rsidRPr="001E40A4">
              <w:rPr>
                <w:rFonts w:cstheme="minorHAnsi"/>
                <w:b/>
              </w:rPr>
              <w:t>A New Vision</w:t>
            </w:r>
            <w:r w:rsidRPr="001E40A4">
              <w:rPr>
                <w:rFonts w:cstheme="minorHAnsi"/>
              </w:rPr>
              <w:t xml:space="preserve"> which embraces diversity and specifically the role of disability in art.</w:t>
            </w:r>
          </w:p>
          <w:p w14:paraId="691E7C6D" w14:textId="77777777" w:rsidR="00ED2D46" w:rsidRPr="001E40A4" w:rsidRDefault="00ED2D46" w:rsidP="00ED2D46">
            <w:pPr>
              <w:jc w:val="both"/>
              <w:rPr>
                <w:rFonts w:cstheme="minorHAnsi"/>
              </w:rPr>
            </w:pPr>
            <w:r w:rsidRPr="001E40A4">
              <w:rPr>
                <w:rFonts w:cstheme="minorHAnsi"/>
              </w:rPr>
              <w:t>A module is being developed which will complement current delivery, as part of an established course in community arts practice, but will be flexible enough to adapt to audience needs through delivery of a ‘stand alone’ course.</w:t>
            </w:r>
          </w:p>
          <w:p w14:paraId="5198404E" w14:textId="77777777" w:rsidR="003A2D58" w:rsidRDefault="003A2D58"/>
        </w:tc>
        <w:tc>
          <w:tcPr>
            <w:tcW w:w="1337" w:type="dxa"/>
            <w:shd w:val="clear" w:color="auto" w:fill="E5B8B7" w:themeFill="accent2" w:themeFillTint="66"/>
          </w:tcPr>
          <w:p w14:paraId="58E7E0F4" w14:textId="77777777" w:rsidR="003A2D58" w:rsidRDefault="003A2D58">
            <w:r>
              <w:t>Planning</w:t>
            </w:r>
          </w:p>
        </w:tc>
      </w:tr>
      <w:tr w:rsidR="003A2D58" w14:paraId="71E9990B" w14:textId="77777777" w:rsidTr="003A2D58">
        <w:tc>
          <w:tcPr>
            <w:tcW w:w="2660" w:type="dxa"/>
            <w:shd w:val="clear" w:color="auto" w:fill="E5B8B7" w:themeFill="accent2" w:themeFillTint="66"/>
          </w:tcPr>
          <w:p w14:paraId="704641F7" w14:textId="77777777" w:rsidR="003A2D58" w:rsidRDefault="003A2D58">
            <w:r>
              <w:t>Engage conference</w:t>
            </w:r>
          </w:p>
        </w:tc>
        <w:tc>
          <w:tcPr>
            <w:tcW w:w="5245" w:type="dxa"/>
            <w:shd w:val="clear" w:color="auto" w:fill="E5B8B7" w:themeFill="accent2" w:themeFillTint="66"/>
          </w:tcPr>
          <w:p w14:paraId="525D941F" w14:textId="77777777" w:rsidR="00995F86" w:rsidRDefault="00995F86">
            <w:r>
              <w:t>We are in the early stages of combining our learning conference with this years’ Engage conference.</w:t>
            </w:r>
          </w:p>
          <w:p w14:paraId="6B08389C" w14:textId="77777777" w:rsidR="00995F86" w:rsidRDefault="00995F86">
            <w:bookmarkStart w:id="0" w:name="_GoBack"/>
            <w:bookmarkEnd w:id="0"/>
          </w:p>
          <w:p w14:paraId="3570A039" w14:textId="77777777" w:rsidR="00995F86" w:rsidRDefault="00995F86">
            <w:r>
              <w:t>Expected to have final details for this week beginning Monday 18</w:t>
            </w:r>
            <w:r w:rsidRPr="00995F86">
              <w:rPr>
                <w:vertAlign w:val="superscript"/>
              </w:rPr>
              <w:t>th</w:t>
            </w:r>
            <w:r>
              <w:t xml:space="preserve"> June</w:t>
            </w:r>
          </w:p>
          <w:p w14:paraId="3CBF85BF" w14:textId="77777777" w:rsidR="003A2D58" w:rsidRDefault="00995F86">
            <w:r>
              <w:t xml:space="preserve"> </w:t>
            </w:r>
          </w:p>
        </w:tc>
        <w:tc>
          <w:tcPr>
            <w:tcW w:w="1337" w:type="dxa"/>
            <w:shd w:val="clear" w:color="auto" w:fill="E5B8B7" w:themeFill="accent2" w:themeFillTint="66"/>
          </w:tcPr>
          <w:p w14:paraId="1A7ABE77" w14:textId="77777777" w:rsidR="003A2D58" w:rsidRDefault="003A2D58">
            <w:r>
              <w:t>Planning</w:t>
            </w:r>
          </w:p>
        </w:tc>
      </w:tr>
    </w:tbl>
    <w:p w14:paraId="29A13595" w14:textId="77777777" w:rsidR="00C35B1D" w:rsidRDefault="00C35B1D"/>
    <w:sectPr w:rsidR="00C35B1D" w:rsidSect="00C35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26ED7"/>
    <w:multiLevelType w:val="hybridMultilevel"/>
    <w:tmpl w:val="40464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58"/>
    <w:rsid w:val="00254014"/>
    <w:rsid w:val="00303565"/>
    <w:rsid w:val="003A2D58"/>
    <w:rsid w:val="003E54E0"/>
    <w:rsid w:val="00445E7E"/>
    <w:rsid w:val="004640AE"/>
    <w:rsid w:val="00563ED1"/>
    <w:rsid w:val="007402D4"/>
    <w:rsid w:val="007521B7"/>
    <w:rsid w:val="00816DAD"/>
    <w:rsid w:val="00995F86"/>
    <w:rsid w:val="00C35B1D"/>
    <w:rsid w:val="00C56347"/>
    <w:rsid w:val="00ED2D46"/>
    <w:rsid w:val="00FA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0FA9"/>
  <w15:docId w15:val="{989E4B78-4C3B-4E02-AA92-681FA6A4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D46"/>
    <w:pPr>
      <w:spacing w:after="200" w:line="276" w:lineRule="auto"/>
      <w:ind w:left="720"/>
      <w:contextualSpacing/>
    </w:pPr>
  </w:style>
  <w:style w:type="paragraph" w:customStyle="1" w:styleId="font8">
    <w:name w:val="font_8"/>
    <w:basedOn w:val="Normal"/>
    <w:rsid w:val="00ED2D46"/>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A449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4498"/>
  </w:style>
  <w:style w:type="character" w:styleId="Hyperlink">
    <w:name w:val="Hyperlink"/>
    <w:basedOn w:val="DefaultParagraphFont"/>
    <w:uiPriority w:val="99"/>
    <w:semiHidden/>
    <w:unhideWhenUsed/>
    <w:rsid w:val="00FA4498"/>
    <w:rPr>
      <w:color w:val="0000FF"/>
      <w:u w:val="single"/>
    </w:rPr>
  </w:style>
  <w:style w:type="paragraph" w:styleId="BalloonText">
    <w:name w:val="Balloon Text"/>
    <w:basedOn w:val="Normal"/>
    <w:link w:val="BalloonTextChar"/>
    <w:uiPriority w:val="99"/>
    <w:semiHidden/>
    <w:unhideWhenUsed/>
    <w:rsid w:val="00464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3376">
      <w:bodyDiv w:val="1"/>
      <w:marLeft w:val="0"/>
      <w:marRight w:val="0"/>
      <w:marTop w:val="0"/>
      <w:marBottom w:val="0"/>
      <w:divBdr>
        <w:top w:val="none" w:sz="0" w:space="0" w:color="auto"/>
        <w:left w:val="none" w:sz="0" w:space="0" w:color="auto"/>
        <w:bottom w:val="none" w:sz="0" w:space="0" w:color="auto"/>
        <w:right w:val="none" w:sz="0" w:space="0" w:color="auto"/>
      </w:divBdr>
    </w:div>
    <w:div w:id="18862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link.uk.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EAA3FDF-7676-4C76-AB18-89446D0A9412}"/>
</file>

<file path=customXml/itemProps2.xml><?xml version="1.0" encoding="utf-8"?>
<ds:datastoreItem xmlns:ds="http://schemas.openxmlformats.org/officeDocument/2006/customXml" ds:itemID="{A304F2AD-E6D3-41FB-9FCA-BE371396FCBA}">
  <ds:schemaRefs>
    <ds:schemaRef ds:uri="http://schemas.microsoft.com/sharepoint/v3/contenttype/forms"/>
  </ds:schemaRefs>
</ds:datastoreItem>
</file>

<file path=customXml/itemProps3.xml><?xml version="1.0" encoding="utf-8"?>
<ds:datastoreItem xmlns:ds="http://schemas.openxmlformats.org/officeDocument/2006/customXml" ds:itemID="{4CD4F795-2E29-4421-BEF0-8663CC9F7B2D}">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80129174-c05c-43cc-8e32-21fcbdfe51bb"/>
    <ds:schemaRef ds:uri="http://schemas.microsoft.com/office/infopath/2007/PartnerControls"/>
    <ds:schemaRef ds:uri="http://schemas.openxmlformats.org/package/2006/metadata/core-properties"/>
    <ds:schemaRef ds:uri="http://www.w3.org/XML/1998/namespace"/>
    <ds:schemaRef ds:uri="958b15ed-c521-4290-b073-2e98d4cc1d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adw2</dc:creator>
  <cp:lastModifiedBy>Williams Walton Hannah (2017)</cp:lastModifiedBy>
  <cp:revision>2</cp:revision>
  <cp:lastPrinted>2017-06-16T10:49:00Z</cp:lastPrinted>
  <dcterms:created xsi:type="dcterms:W3CDTF">2017-06-16T10:56:00Z</dcterms:created>
  <dcterms:modified xsi:type="dcterms:W3CDTF">2017-06-16T10:56:00Z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