
<file path=[Content_Types].xml><?xml version="1.0" encoding="utf-8"?>
<Types xmlns="http://schemas.openxmlformats.org/package/2006/content-types">
  <Default Extension="png" ContentType="image/png"/>
  <Default Extension="bmp" ContentType="image/bmp"/>
  <Default Extension="pdf" ContentType="application/pdf"/>
  <Default Extension="rels" ContentType="application/vnd.openxmlformats-package.relationships+xml"/>
  <Default Extension="jpeg" ContentType="image/jpg"/>
  <Default Extension="mov" ContentType="application/movie"/>
  <Default Extension="xml" ContentType="application/xml"/>
  <Default Extension="gif" ContentType="image/gif"/>
  <Default Extension="tif" ContentType="image/tif"/>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officeDocument" Target="word/document.xml"/><Relationship Id="rId2" Type="http://schemas.openxmlformats.org/officeDocument/2006/relationships/extended-properties" Target="docProps/app.xml"/><Relationship Id="rId1" Type="http://schemas.openxmlformats.org/package/2006/relationships/metadata/core-properties" Target="docProps/core.xml"/><Relationship Id="rId4" Type="http://schemas.openxmlformats.org/officeDocument/2006/relationships/custom-properties" Target="docProps/custom.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ind w:firstLine="720"/>
        <w:rPr>
          <w:rFonts w:ascii="Calibri" w:cs="Calibri" w:hAnsi="Calibri" w:eastAsia="Calibri"/>
          <w:b w:val="1"/>
          <w:bCs w:val="1"/>
        </w:rPr>
      </w:pPr>
      <w:r>
        <w:rPr>
          <w:rFonts w:ascii="Calibri" w:cs="Calibri" w:hAnsi="Calibri" w:eastAsia="Calibri"/>
          <w:b w:val="1"/>
          <w:bCs w:val="1"/>
          <w:rtl w:val="0"/>
        </w:rPr>
        <w:t xml:space="preserve">HULL UK CITY OF CULTURE 2017 </w:t>
      </w:r>
      <w:r>
        <w:rPr>
          <w:rFonts w:ascii="Calibri" w:cs="Calibri" w:hAnsi="Calibri" w:eastAsia="Calibri"/>
          <w:b w:val="1"/>
          <w:bCs w:val="1"/>
          <w:rtl w:val="0"/>
        </w:rPr>
        <w:t>– ‘</w:t>
      </w:r>
      <w:r>
        <w:rPr>
          <w:rFonts w:ascii="Calibri" w:cs="Calibri" w:hAnsi="Calibri" w:eastAsia="Calibri"/>
          <w:b w:val="1"/>
          <w:bCs w:val="1"/>
          <w:rtl w:val="0"/>
        </w:rPr>
        <w:t>LOOK UP</w:t>
      </w:r>
      <w:r>
        <w:rPr>
          <w:rFonts w:ascii="Calibri" w:cs="Calibri" w:hAnsi="Calibri" w:eastAsia="Calibri"/>
          <w:b w:val="1"/>
          <w:bCs w:val="1"/>
          <w:rtl w:val="0"/>
          <w:lang w:val="fr-FR"/>
        </w:rPr>
        <w:t xml:space="preserve">’  </w:t>
      </w:r>
    </w:p>
    <w:p>
      <w:pPr>
        <w:pStyle w:val="Body"/>
        <w:rPr>
          <w:rFonts w:ascii="Calibri" w:cs="Calibri" w:hAnsi="Calibri" w:eastAsia="Calibri"/>
          <w:b w:val="1"/>
          <w:bCs w:val="1"/>
        </w:rPr>
      </w:pPr>
    </w:p>
    <w:p>
      <w:pPr>
        <w:pStyle w:val="Body"/>
        <w:ind w:left="720" w:firstLine="0"/>
        <w:rPr>
          <w:rtl w:val="0"/>
        </w:rPr>
      </w:pPr>
      <w:r>
        <w:rPr>
          <w:rFonts w:ascii="Trebuchet MS"/>
          <w:rtl w:val="0"/>
          <w:lang w:val="en-US"/>
        </w:rPr>
        <w:t>A year-long programme of artists</w:t>
      </w:r>
      <w:r>
        <w:rPr>
          <w:rFonts w:hAnsi="Trebuchet MS" w:hint="default"/>
          <w:rtl w:val="0"/>
          <w:lang w:val="fr-FR"/>
        </w:rPr>
        <w:t xml:space="preserve">’ </w:t>
      </w:r>
      <w:r>
        <w:rPr>
          <w:rFonts w:ascii="Trebuchet MS"/>
          <w:rtl w:val="0"/>
          <w:lang w:val="en-US"/>
        </w:rPr>
        <w:t>works made specifically for Hull</w:t>
      </w:r>
      <w:r>
        <w:rPr>
          <w:rFonts w:hAnsi="Trebuchet MS" w:hint="default"/>
          <w:rtl w:val="0"/>
          <w:lang w:val="fr-FR"/>
        </w:rPr>
        <w:t>’</w:t>
      </w:r>
      <w:r>
        <w:rPr>
          <w:rFonts w:ascii="Trebuchet MS"/>
          <w:rtl w:val="0"/>
          <w:lang w:val="en-US"/>
        </w:rPr>
        <w:t>s public spaces and places.</w:t>
      </w:r>
    </w:p>
    <w:p>
      <w:pPr>
        <w:pStyle w:val="Body"/>
        <w:rPr>
          <w:rtl w:val="0"/>
        </w:rPr>
      </w:pPr>
    </w:p>
    <w:p>
      <w:pPr>
        <w:pStyle w:val="Body"/>
        <w:ind w:firstLine="720"/>
        <w:rPr>
          <w:rtl w:val="0"/>
        </w:rPr>
      </w:pPr>
      <w:r>
        <w:rPr>
          <w:rFonts w:ascii="Calibri" w:cs="Calibri" w:hAnsi="Calibri" w:eastAsia="Calibri"/>
          <w:b w:val="1"/>
          <w:bCs w:val="1"/>
          <w:rtl w:val="0"/>
        </w:rPr>
        <w:t>‘</w:t>
      </w:r>
      <w:r>
        <w:rPr>
          <w:rFonts w:ascii="Calibri" w:cs="Calibri" w:hAnsi="Calibri" w:eastAsia="Calibri"/>
          <w:b w:val="1"/>
          <w:bCs w:val="1"/>
          <w:rtl w:val="0"/>
          <w:lang w:val="en-US"/>
        </w:rPr>
        <w:t>The City Speaks</w:t>
      </w:r>
      <w:r>
        <w:rPr>
          <w:rFonts w:ascii="Calibri" w:cs="Calibri" w:hAnsi="Calibri" w:eastAsia="Calibri"/>
          <w:b w:val="1"/>
          <w:bCs w:val="1"/>
          <w:rtl w:val="0"/>
          <w:lang w:val="fr-FR"/>
        </w:rPr>
        <w:t>’</w:t>
      </w:r>
      <w:r>
        <w:rPr>
          <w:rFonts w:ascii="Trebuchet MS"/>
          <w:rtl w:val="0"/>
        </w:rPr>
        <w:t xml:space="preserve"> by Michael Pinsky 03.02 -31.12.17</w:t>
      </w:r>
    </w:p>
    <w:p>
      <w:pPr>
        <w:pStyle w:val="Body"/>
        <w:rPr>
          <w:rtl w:val="0"/>
        </w:rPr>
      </w:pPr>
    </w:p>
    <w:p>
      <w:pPr>
        <w:pStyle w:val="Body"/>
        <w:rPr>
          <w:rFonts w:ascii="Calibri" w:cs="Calibri" w:hAnsi="Calibri" w:eastAsia="Calibri"/>
          <w:b w:val="1"/>
          <w:bCs w:val="1"/>
        </w:rPr>
      </w:pPr>
      <w:r>
        <w:rPr>
          <w:rFonts w:ascii="Calibri" w:cs="Calibri" w:hAnsi="Calibri" w:eastAsia="Calibri"/>
          <w:b w:val="1"/>
          <w:bCs w:val="1"/>
          <w:rtl w:val="0"/>
        </w:rPr>
        <w:t>1</w:t>
        <w:tab/>
        <w:t>INTRODUCTION</w:t>
      </w:r>
    </w:p>
    <w:p>
      <w:pPr>
        <w:pStyle w:val="Body"/>
        <w:rPr>
          <w:rFonts w:ascii="Calibri" w:cs="Calibri" w:hAnsi="Calibri" w:eastAsia="Calibri"/>
          <w:b w:val="1"/>
          <w:bCs w:val="1"/>
        </w:rPr>
      </w:pPr>
    </w:p>
    <w:p>
      <w:pPr>
        <w:pStyle w:val="List Paragraph"/>
        <w:numPr>
          <w:ilvl w:val="1"/>
          <w:numId w:val="3"/>
        </w:numPr>
        <w:tabs>
          <w:tab w:val="num" w:pos="720"/>
          <w:tab w:val="clear" w:pos="0"/>
        </w:tabs>
        <w:ind w:left="720" w:hanging="720"/>
        <w:rPr>
          <w:position w:val="0"/>
          <w:rtl w:val="0"/>
        </w:rPr>
      </w:pPr>
      <w:r>
        <w:rPr>
          <w:rFonts w:hAnsi="Trebuchet MS" w:hint="default"/>
          <w:rtl w:val="0"/>
          <w:lang w:val="en-US"/>
        </w:rPr>
        <w:t>‘</w:t>
      </w:r>
      <w:r>
        <w:rPr>
          <w:rFonts w:ascii="Trebuchet MS"/>
          <w:rtl w:val="0"/>
          <w:lang w:val="en-US"/>
        </w:rPr>
        <w:t>The City Speaks</w:t>
      </w:r>
      <w:r>
        <w:rPr>
          <w:rFonts w:hAnsi="Trebuchet MS" w:hint="default"/>
          <w:rtl w:val="0"/>
          <w:lang w:val="en-US"/>
        </w:rPr>
        <w:t xml:space="preserve">’ </w:t>
      </w:r>
      <w:r>
        <w:rPr>
          <w:rFonts w:ascii="Trebuchet MS"/>
          <w:rtl w:val="0"/>
          <w:lang w:val="en-US"/>
        </w:rPr>
        <w:t>is proposed as a temporary, interactive work for the public realm conceived by the artist Michael Pinsky and developed in collaboration with The Light Lab.  It employs voice recognition software which will convert participants</w:t>
      </w:r>
      <w:r>
        <w:rPr>
          <w:rFonts w:hAnsi="Trebuchet MS" w:hint="default"/>
          <w:rtl w:val="0"/>
          <w:lang w:val="en-US"/>
        </w:rPr>
        <w:t xml:space="preserve">’ </w:t>
      </w:r>
      <w:r>
        <w:rPr>
          <w:rFonts w:ascii="Trebuchet MS"/>
          <w:rtl w:val="0"/>
          <w:lang w:val="en-US"/>
        </w:rPr>
        <w:t>speech to be displayed live as scrolling text on a large scale custom built screen.</w:t>
      </w:r>
    </w:p>
    <w:p>
      <w:pPr>
        <w:pStyle w:val="Body"/>
        <w:rPr>
          <w:rtl w:val="0"/>
        </w:rPr>
      </w:pPr>
    </w:p>
    <w:p>
      <w:pPr>
        <w:pStyle w:val="List Paragraph"/>
        <w:numPr>
          <w:ilvl w:val="1"/>
          <w:numId w:val="3"/>
        </w:numPr>
        <w:tabs>
          <w:tab w:val="num" w:pos="720"/>
          <w:tab w:val="clear" w:pos="0"/>
        </w:tabs>
        <w:ind w:left="720" w:hanging="720"/>
        <w:rPr>
          <w:position w:val="0"/>
          <w:rtl w:val="0"/>
        </w:rPr>
      </w:pPr>
      <w:r>
        <w:rPr>
          <w:rFonts w:ascii="Trebuchet MS"/>
          <w:rtl w:val="0"/>
          <w:lang w:val="en-US"/>
        </w:rPr>
        <w:t>The screen has been designed for installation within the glazed west stairwell of the Hull Tidal Barrier and measures 16m high x 2m wide.</w:t>
      </w:r>
    </w:p>
    <w:p>
      <w:pPr>
        <w:pStyle w:val="Body"/>
        <w:rPr>
          <w:rtl w:val="0"/>
        </w:rPr>
      </w:pPr>
    </w:p>
    <w:p>
      <w:pPr>
        <w:pStyle w:val="List Paragraph"/>
        <w:numPr>
          <w:ilvl w:val="1"/>
          <w:numId w:val="3"/>
        </w:numPr>
        <w:tabs>
          <w:tab w:val="num" w:pos="720"/>
          <w:tab w:val="clear" w:pos="0"/>
        </w:tabs>
        <w:ind w:left="720" w:hanging="720"/>
        <w:rPr>
          <w:color w:val="000000"/>
          <w:position w:val="0"/>
          <w:u w:color="000000"/>
        </w:rPr>
      </w:pPr>
      <w:r>
        <w:rPr>
          <w:rFonts w:ascii="Trebuchet MS"/>
          <w:rtl w:val="0"/>
          <w:lang w:val="en-US"/>
        </w:rPr>
        <w:t xml:space="preserve">The installation will use software knows as Cloud Speech API which has been developed by Google to convert audio speech to text.  </w:t>
      </w:r>
      <w:r>
        <w:rPr>
          <w:rFonts w:ascii="Trebuchet MS"/>
          <w:color w:val="000000"/>
          <w:u w:color="000000"/>
          <w:rtl w:val="0"/>
          <w:lang w:val="en-US"/>
        </w:rPr>
        <w:t xml:space="preserve">Speech API can stream text results, with the recognized text appearing immediately while speaking and can filter inappropriate content.  </w:t>
      </w:r>
    </w:p>
    <w:p>
      <w:pPr>
        <w:pStyle w:val="Body"/>
        <w:rPr>
          <w:color w:val="000000"/>
          <w:u w:color="000000"/>
        </w:rPr>
      </w:pPr>
    </w:p>
    <w:p>
      <w:pPr>
        <w:pStyle w:val="List Paragraph"/>
        <w:numPr>
          <w:ilvl w:val="1"/>
          <w:numId w:val="5"/>
        </w:numPr>
        <w:tabs>
          <w:tab w:val="num" w:pos="785"/>
          <w:tab w:val="clear" w:pos="0"/>
        </w:tabs>
        <w:bidi w:val="0"/>
        <w:ind w:left="785" w:right="0" w:hanging="785"/>
        <w:jc w:val="left"/>
        <w:rPr>
          <w:rFonts w:ascii="Calibri" w:cs="Calibri" w:hAnsi="Calibri" w:eastAsia="Calibri"/>
          <w:color w:val="0000e9"/>
          <w:position w:val="0"/>
          <w:sz w:val="22"/>
          <w:szCs w:val="22"/>
          <w:u w:val="single" w:color="0000e9"/>
          <w:rtl w:val="0"/>
          <w:lang w:val="en-US"/>
        </w:rPr>
      </w:pPr>
      <w:r>
        <w:rPr>
          <w:rFonts w:ascii="Trebuchet MS"/>
          <w:color w:val="000000"/>
          <w:rtl w:val="0"/>
          <w:lang w:val="en-US"/>
        </w:rPr>
        <w:t xml:space="preserve">The same software is being used in a series of benches which Hull City Council have commissioned from the artist for sites within the city centre areas currently being addressed by the programme of public realm improvements.  A prototype was recently demonstrated, the link to the video clip is </w:t>
      </w:r>
      <w:hyperlink r:id="rId4" w:history="1">
        <w:r>
          <w:rPr>
            <w:rStyle w:val="Hyperlink.0"/>
            <w:rFonts w:ascii="Calibri" w:cs="Calibri" w:hAnsi="Calibri" w:eastAsia="Calibri"/>
            <w:color w:val="0000e9"/>
            <w:sz w:val="22"/>
            <w:szCs w:val="22"/>
            <w:u w:color="0000e9"/>
            <w:rtl w:val="0"/>
            <w:lang w:val="en-US"/>
          </w:rPr>
          <w:t>https://youtu.be/3kExOCrtpJY</w:t>
        </w:r>
      </w:hyperlink>
    </w:p>
    <w:p>
      <w:pPr>
        <w:pStyle w:val="Body"/>
        <w:rPr>
          <w:rFonts w:ascii="Calibri" w:cs="Calibri" w:hAnsi="Calibri" w:eastAsia="Calibri"/>
          <w:color w:val="0000e9"/>
          <w:sz w:val="22"/>
          <w:szCs w:val="22"/>
          <w:u w:val="single" w:color="0000e9"/>
          <w:lang w:val="en-US"/>
        </w:rPr>
      </w:pPr>
    </w:p>
    <w:p>
      <w:pPr>
        <w:pStyle w:val="List Paragraph"/>
        <w:numPr>
          <w:ilvl w:val="0"/>
          <w:numId w:val="6"/>
        </w:numPr>
        <w:tabs>
          <w:tab w:val="num" w:pos="720"/>
          <w:tab w:val="clear" w:pos="0"/>
        </w:tabs>
        <w:bidi w:val="0"/>
        <w:ind w:left="720" w:right="0" w:hanging="720"/>
        <w:jc w:val="left"/>
        <w:rPr>
          <w:rFonts w:ascii="Trebuchet MS Bold" w:cs="Trebuchet MS Bold" w:hAnsi="Trebuchet MS Bold" w:eastAsia="Trebuchet MS Bold"/>
          <w:b w:val="1"/>
          <w:bCs w:val="1"/>
          <w:position w:val="0"/>
          <w:rtl w:val="0"/>
        </w:rPr>
      </w:pPr>
      <w:r>
        <w:rPr>
          <w:rFonts w:ascii="Calibri" w:cs="Calibri" w:hAnsi="Calibri" w:eastAsia="Calibri"/>
          <w:b w:val="1"/>
          <w:bCs w:val="1"/>
          <w:rtl w:val="0"/>
          <w:lang w:val="en-US"/>
        </w:rPr>
        <w:t>VIDEO SCREEN</w:t>
      </w:r>
    </w:p>
    <w:p>
      <w:pPr>
        <w:pStyle w:val="Body"/>
        <w:rPr>
          <w:rFonts w:ascii="Calibri" w:cs="Calibri" w:hAnsi="Calibri" w:eastAsia="Calibri"/>
          <w:b w:val="1"/>
          <w:bCs w:val="1"/>
        </w:rPr>
      </w:pPr>
    </w:p>
    <w:p>
      <w:pPr>
        <w:pStyle w:val="List Paragraph"/>
        <w:numPr>
          <w:ilvl w:val="1"/>
          <w:numId w:val="6"/>
        </w:numPr>
        <w:tabs>
          <w:tab w:val="num" w:pos="720"/>
          <w:tab w:val="clear" w:pos="0"/>
        </w:tabs>
        <w:ind w:left="720" w:hanging="720"/>
        <w:rPr>
          <w:position w:val="0"/>
          <w:rtl w:val="0"/>
        </w:rPr>
      </w:pPr>
      <w:r>
        <w:rPr>
          <w:rFonts w:ascii="Trebuchet MS"/>
          <w:rtl w:val="0"/>
          <w:lang w:val="en-US"/>
        </w:rPr>
        <w:t>The screen will be manufactured in sections on the basis of a customised arrangement of ultra-light-weight LED video modules with a 60mm pixel pitch.  The screen has been designed to align with the structure of the glazing to the west stairwell, which was surveyed earlier in the year by Light Lab.  The LED modules will be set within a Unistrut frame which will be fixed to the glazing</w:t>
      </w:r>
      <w:r>
        <w:rPr>
          <w:rFonts w:hAnsi="Trebuchet MS" w:hint="default"/>
          <w:rtl w:val="0"/>
          <w:lang w:val="en-US"/>
        </w:rPr>
        <w:t>’</w:t>
      </w:r>
      <w:r>
        <w:rPr>
          <w:rFonts w:ascii="Trebuchet MS"/>
          <w:rtl w:val="0"/>
          <w:lang w:val="en-US"/>
        </w:rPr>
        <w:t xml:space="preserve">s horizontal beams using Lindaptor clamps.  </w:t>
      </w:r>
    </w:p>
    <w:p>
      <w:pPr>
        <w:pStyle w:val="Body"/>
        <w:rPr>
          <w:rtl w:val="0"/>
        </w:rPr>
      </w:pPr>
    </w:p>
    <w:p>
      <w:pPr>
        <w:pStyle w:val="List Paragraph"/>
        <w:numPr>
          <w:ilvl w:val="1"/>
          <w:numId w:val="6"/>
        </w:numPr>
        <w:tabs>
          <w:tab w:val="num" w:pos="720"/>
          <w:tab w:val="clear" w:pos="0"/>
        </w:tabs>
        <w:ind w:left="720" w:hanging="720"/>
        <w:rPr>
          <w:position w:val="0"/>
          <w:rtl w:val="0"/>
        </w:rPr>
      </w:pPr>
      <w:r>
        <w:rPr>
          <w:rFonts w:ascii="Trebuchet MS"/>
          <w:rtl w:val="0"/>
          <w:lang w:val="en-US"/>
        </w:rPr>
        <w:t xml:space="preserve">The </w:t>
      </w:r>
      <w:r>
        <w:rPr>
          <w:rFonts w:hAnsi="Trebuchet MS" w:hint="default"/>
          <w:rtl w:val="0"/>
          <w:lang w:val="en-US"/>
        </w:rPr>
        <w:t>‘</w:t>
      </w:r>
      <w:r>
        <w:rPr>
          <w:rFonts w:ascii="Trebuchet MS"/>
          <w:rtl w:val="0"/>
          <w:lang w:val="en-US"/>
        </w:rPr>
        <w:t>video screen</w:t>
      </w:r>
      <w:r>
        <w:rPr>
          <w:rFonts w:hAnsi="Trebuchet MS" w:hint="default"/>
          <w:rtl w:val="0"/>
          <w:lang w:val="en-US"/>
        </w:rPr>
        <w:t xml:space="preserve">’ </w:t>
      </w:r>
      <w:r>
        <w:rPr>
          <w:rFonts w:ascii="Trebuchet MS"/>
          <w:rtl w:val="0"/>
          <w:lang w:val="en-US"/>
        </w:rPr>
        <w:t xml:space="preserve">is designed on the basis of minimal impact to the glazing structure, maintaining its integrity and free movement within the space of the stairwell itself. </w:t>
      </w:r>
    </w:p>
    <w:p>
      <w:pPr>
        <w:pStyle w:val="Body"/>
        <w:rPr>
          <w:rtl w:val="0"/>
        </w:rPr>
      </w:pPr>
    </w:p>
    <w:p>
      <w:pPr>
        <w:pStyle w:val="List Paragraph"/>
        <w:numPr>
          <w:ilvl w:val="0"/>
          <w:numId w:val="6"/>
        </w:numPr>
        <w:tabs>
          <w:tab w:val="num" w:pos="720"/>
          <w:tab w:val="clear" w:pos="0"/>
        </w:tabs>
        <w:bidi w:val="0"/>
        <w:ind w:left="720" w:right="0" w:hanging="720"/>
        <w:jc w:val="left"/>
        <w:rPr>
          <w:rFonts w:ascii="Trebuchet MS Bold" w:cs="Trebuchet MS Bold" w:hAnsi="Trebuchet MS Bold" w:eastAsia="Trebuchet MS Bold"/>
          <w:b w:val="1"/>
          <w:bCs w:val="1"/>
          <w:position w:val="0"/>
          <w:rtl w:val="0"/>
        </w:rPr>
      </w:pPr>
      <w:r>
        <w:rPr>
          <w:rFonts w:ascii="Calibri" w:cs="Calibri" w:hAnsi="Calibri" w:eastAsia="Calibri"/>
          <w:b w:val="1"/>
          <w:bCs w:val="1"/>
          <w:rtl w:val="0"/>
          <w:lang w:val="en-US"/>
        </w:rPr>
        <w:t>MICROPHONE &amp; LECTERN</w:t>
      </w:r>
    </w:p>
    <w:p>
      <w:pPr>
        <w:pStyle w:val="Body"/>
        <w:rPr>
          <w:rFonts w:ascii="Calibri" w:cs="Calibri" w:hAnsi="Calibri" w:eastAsia="Calibri"/>
          <w:b w:val="1"/>
          <w:bCs w:val="1"/>
        </w:rPr>
      </w:pPr>
    </w:p>
    <w:p>
      <w:pPr>
        <w:pStyle w:val="List Paragraph"/>
        <w:numPr>
          <w:ilvl w:val="1"/>
          <w:numId w:val="6"/>
        </w:numPr>
        <w:tabs>
          <w:tab w:val="num" w:pos="720"/>
          <w:tab w:val="clear" w:pos="0"/>
        </w:tabs>
        <w:ind w:left="720" w:hanging="720"/>
        <w:rPr>
          <w:position w:val="0"/>
          <w:rtl w:val="0"/>
        </w:rPr>
      </w:pPr>
      <w:r>
        <w:rPr>
          <w:rFonts w:ascii="Trebuchet MS"/>
          <w:rtl w:val="0"/>
          <w:lang w:val="en-US"/>
        </w:rPr>
        <w:t xml:space="preserve">The microphone point will be located within a custom designed, robust </w:t>
      </w:r>
      <w:r>
        <w:rPr>
          <w:rFonts w:hAnsi="Trebuchet MS" w:hint="default"/>
          <w:rtl w:val="0"/>
          <w:lang w:val="en-US"/>
        </w:rPr>
        <w:t>‘</w:t>
      </w:r>
      <w:r>
        <w:rPr>
          <w:rFonts w:ascii="Trebuchet MS"/>
          <w:rtl w:val="0"/>
          <w:lang w:val="en-US"/>
        </w:rPr>
        <w:t>lectern</w:t>
      </w:r>
      <w:r>
        <w:rPr>
          <w:rFonts w:hAnsi="Trebuchet MS" w:hint="default"/>
          <w:rtl w:val="0"/>
          <w:lang w:val="en-US"/>
        </w:rPr>
        <w:t xml:space="preserve">’ </w:t>
      </w:r>
      <w:r>
        <w:rPr>
          <w:rFonts w:ascii="Trebuchet MS"/>
          <w:rtl w:val="0"/>
          <w:lang w:val="en-US"/>
        </w:rPr>
        <w:t>to be sited on Humber Dock Promenade, aligned with Humber Street to provide a strong visual connection with the Tidal Surge Barrier.</w:t>
      </w:r>
    </w:p>
    <w:p>
      <w:pPr>
        <w:pStyle w:val="Body"/>
        <w:rPr>
          <w:rtl w:val="0"/>
        </w:rPr>
      </w:pPr>
    </w:p>
    <w:p>
      <w:pPr>
        <w:pStyle w:val="List Paragraph"/>
        <w:numPr>
          <w:ilvl w:val="1"/>
          <w:numId w:val="6"/>
        </w:numPr>
        <w:tabs>
          <w:tab w:val="num" w:pos="720"/>
          <w:tab w:val="clear" w:pos="0"/>
        </w:tabs>
        <w:ind w:left="720" w:hanging="720"/>
        <w:rPr>
          <w:position w:val="0"/>
          <w:rtl w:val="0"/>
        </w:rPr>
      </w:pPr>
      <w:r>
        <w:rPr>
          <w:rFonts w:ascii="Trebuchet MS"/>
          <w:rtl w:val="0"/>
          <w:lang w:val="en-US"/>
        </w:rPr>
        <w:t xml:space="preserve">There will be two points in the structure into which people can speak, thereby providing access to the work for people of all abilities including wheelchair users.  </w:t>
      </w:r>
    </w:p>
    <w:p>
      <w:pPr>
        <w:pStyle w:val="Body"/>
        <w:rPr>
          <w:rtl w:val="0"/>
        </w:rPr>
      </w:pPr>
    </w:p>
    <w:p>
      <w:pPr>
        <w:pStyle w:val="List Paragraph"/>
        <w:numPr>
          <w:ilvl w:val="1"/>
          <w:numId w:val="6"/>
        </w:numPr>
        <w:tabs>
          <w:tab w:val="num" w:pos="720"/>
          <w:tab w:val="clear" w:pos="0"/>
        </w:tabs>
        <w:ind w:left="720" w:hanging="720"/>
        <w:rPr>
          <w:position w:val="0"/>
          <w:rtl w:val="0"/>
        </w:rPr>
      </w:pPr>
      <w:r>
        <w:rPr>
          <w:rFonts w:ascii="Trebuchet MS"/>
          <w:rtl w:val="0"/>
          <w:lang w:val="en-US"/>
        </w:rPr>
        <w:t>Protocols will be adopted to ensure that inappropriate speech content is filtered out and if necessary a log will be established to retain a record of transmitted text for an agreed period of time.  This will be manged through remote monitoring and control via a web link.</w:t>
      </w:r>
    </w:p>
    <w:p>
      <w:pPr>
        <w:pStyle w:val="Body"/>
        <w:rPr>
          <w:rtl w:val="0"/>
        </w:rPr>
      </w:pPr>
    </w:p>
    <w:p>
      <w:pPr>
        <w:pStyle w:val="List Paragraph"/>
        <w:numPr>
          <w:ilvl w:val="0"/>
          <w:numId w:val="6"/>
        </w:numPr>
        <w:tabs>
          <w:tab w:val="num" w:pos="720"/>
          <w:tab w:val="clear" w:pos="0"/>
        </w:tabs>
        <w:bidi w:val="0"/>
        <w:ind w:left="720" w:right="0" w:hanging="720"/>
        <w:jc w:val="left"/>
        <w:rPr>
          <w:rFonts w:ascii="Trebuchet MS Bold" w:cs="Trebuchet MS Bold" w:hAnsi="Trebuchet MS Bold" w:eastAsia="Trebuchet MS Bold"/>
          <w:b w:val="1"/>
          <w:bCs w:val="1"/>
          <w:position w:val="0"/>
          <w:rtl w:val="0"/>
        </w:rPr>
      </w:pPr>
      <w:r>
        <w:rPr>
          <w:rFonts w:ascii="Calibri" w:cs="Calibri" w:hAnsi="Calibri" w:eastAsia="Calibri"/>
          <w:b w:val="1"/>
          <w:bCs w:val="1"/>
          <w:rtl w:val="0"/>
          <w:lang w:val="en-US"/>
        </w:rPr>
        <w:t>RESPONSIBILITIES</w:t>
      </w:r>
    </w:p>
    <w:p>
      <w:pPr>
        <w:pStyle w:val="Body"/>
        <w:rPr>
          <w:rFonts w:ascii="Calibri" w:cs="Calibri" w:hAnsi="Calibri" w:eastAsia="Calibri"/>
          <w:b w:val="1"/>
          <w:bCs w:val="1"/>
        </w:rPr>
      </w:pPr>
    </w:p>
    <w:p>
      <w:pPr>
        <w:pStyle w:val="List Paragraph"/>
        <w:numPr>
          <w:ilvl w:val="1"/>
          <w:numId w:val="6"/>
        </w:numPr>
        <w:tabs>
          <w:tab w:val="num" w:pos="720"/>
          <w:tab w:val="clear" w:pos="0"/>
        </w:tabs>
        <w:ind w:left="720" w:hanging="720"/>
        <w:rPr>
          <w:position w:val="0"/>
          <w:rtl w:val="0"/>
        </w:rPr>
      </w:pPr>
      <w:r>
        <w:rPr>
          <w:rFonts w:ascii="Trebuchet MS"/>
          <w:rtl w:val="0"/>
          <w:lang w:val="en-US"/>
        </w:rPr>
        <w:t xml:space="preserve">Hull 2017 will be the commissioning body, responsible for the procurement, maintenance, promotion and content management of the artwork.  </w:t>
      </w:r>
    </w:p>
    <w:p>
      <w:pPr>
        <w:pStyle w:val="Body"/>
        <w:rPr>
          <w:rtl w:val="0"/>
        </w:rPr>
      </w:pPr>
    </w:p>
    <w:p>
      <w:pPr>
        <w:pStyle w:val="List Paragraph"/>
        <w:numPr>
          <w:ilvl w:val="1"/>
          <w:numId w:val="6"/>
        </w:numPr>
        <w:tabs>
          <w:tab w:val="num" w:pos="720"/>
          <w:tab w:val="clear" w:pos="0"/>
        </w:tabs>
        <w:ind w:left="720" w:hanging="720"/>
        <w:rPr>
          <w:position w:val="0"/>
          <w:rtl w:val="0"/>
        </w:rPr>
      </w:pPr>
      <w:r>
        <w:rPr>
          <w:rFonts w:ascii="Trebuchet MS"/>
          <w:rtl w:val="0"/>
          <w:lang w:val="en-US"/>
        </w:rPr>
        <w:t>The artist, Michael Pinsky, will be commissioned by Hull 2017 and Light Lab will be contracted to provide detailed designs and specifications, supply, install and commission the various elements which comprise the work.  The work will be subject to a 12 month warranty and Light Lab will ongoing support and maintenance should this be required.</w:t>
      </w:r>
    </w:p>
    <w:p>
      <w:pPr>
        <w:pStyle w:val="Body"/>
        <w:rPr>
          <w:rtl w:val="0"/>
        </w:rPr>
      </w:pPr>
    </w:p>
    <w:p>
      <w:pPr>
        <w:pStyle w:val="List Paragraph"/>
        <w:numPr>
          <w:ilvl w:val="1"/>
          <w:numId w:val="6"/>
        </w:numPr>
        <w:tabs>
          <w:tab w:val="num" w:pos="720"/>
          <w:tab w:val="clear" w:pos="0"/>
        </w:tabs>
        <w:ind w:left="720" w:hanging="720"/>
        <w:rPr>
          <w:position w:val="0"/>
          <w:rtl w:val="0"/>
        </w:rPr>
      </w:pPr>
      <w:r>
        <w:rPr>
          <w:rFonts w:ascii="Trebuchet MS"/>
          <w:rtl w:val="0"/>
          <w:lang w:val="en-US"/>
        </w:rPr>
        <w:t>All detail design and specifications will be subject to review and approval by Hull 2017 and the Environment Agency prior to taking the work to the next stage.</w:t>
      </w:r>
    </w:p>
    <w:p>
      <w:pPr>
        <w:pStyle w:val="Body"/>
        <w:rPr>
          <w:rtl w:val="0"/>
        </w:rPr>
      </w:pPr>
    </w:p>
    <w:p>
      <w:pPr>
        <w:pStyle w:val="List Paragraph"/>
        <w:numPr>
          <w:ilvl w:val="1"/>
          <w:numId w:val="6"/>
        </w:numPr>
        <w:tabs>
          <w:tab w:val="num" w:pos="720"/>
          <w:tab w:val="clear" w:pos="0"/>
        </w:tabs>
        <w:ind w:left="720" w:hanging="720"/>
        <w:rPr>
          <w:position w:val="0"/>
          <w:rtl w:val="0"/>
        </w:rPr>
      </w:pPr>
      <w:r>
        <w:rPr>
          <w:rFonts w:ascii="Trebuchet MS"/>
          <w:rtl w:val="0"/>
          <w:lang w:val="en-US"/>
        </w:rPr>
        <w:t>All work will be independently inspected to ensure that it complies with approved designs and specifications.</w:t>
      </w:r>
    </w:p>
    <w:p>
      <w:pPr>
        <w:pStyle w:val="Body"/>
        <w:rPr>
          <w:rtl w:val="0"/>
        </w:rPr>
      </w:pPr>
    </w:p>
    <w:p>
      <w:pPr>
        <w:pStyle w:val="List Paragraph"/>
        <w:numPr>
          <w:ilvl w:val="1"/>
          <w:numId w:val="6"/>
        </w:numPr>
        <w:tabs>
          <w:tab w:val="num" w:pos="720"/>
          <w:tab w:val="clear" w:pos="0"/>
        </w:tabs>
        <w:ind w:left="720" w:hanging="720"/>
        <w:rPr>
          <w:position w:val="0"/>
          <w:rtl w:val="0"/>
        </w:rPr>
      </w:pPr>
      <w:r>
        <w:rPr>
          <w:rFonts w:ascii="Trebuchet MS"/>
          <w:rtl w:val="0"/>
          <w:lang w:val="en-US"/>
        </w:rPr>
        <w:t>Light Lab will be responsible for submitting RAMS for approval by Hull 2017 and the Environment Agency.</w:t>
      </w:r>
    </w:p>
    <w:p>
      <w:pPr>
        <w:pStyle w:val="Body"/>
        <w:rPr>
          <w:rtl w:val="0"/>
        </w:rPr>
      </w:pPr>
    </w:p>
    <w:p>
      <w:pPr>
        <w:pStyle w:val="List Paragraph"/>
        <w:numPr>
          <w:ilvl w:val="1"/>
          <w:numId w:val="6"/>
        </w:numPr>
        <w:tabs>
          <w:tab w:val="num" w:pos="720"/>
          <w:tab w:val="clear" w:pos="0"/>
        </w:tabs>
        <w:ind w:left="720" w:hanging="720"/>
        <w:rPr>
          <w:position w:val="0"/>
        </w:rPr>
      </w:pPr>
      <w:r>
        <w:rPr>
          <w:rFonts w:ascii="Trebuchet MS"/>
          <w:rtl w:val="0"/>
          <w:lang w:val="en-US"/>
        </w:rPr>
        <w:t>Hull 2017 will look to enter into a Memorandum of Understanding with the Environment Agency as the means by which to record consent to use the site for the installation of the work, conditions consistent with such consent and the management protocols with respect to the operation of the artwork.</w:t>
      </w:r>
    </w:p>
    <w:sectPr>
      <w:headerReference w:type="default" r:id="rId5"/>
      <w:footerReference w:type="default" r:id="rId6"/>
      <w:pgSz w:w="11900" w:h="16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 w:name="Trebuchet MS">
    <w:charset w:val="00"/>
    <w:family w:val="roman"/>
    <w:pitch w:val="default"/>
  </w:font>
  <w:font w:name="Helvetica">
    <w:charset w:val="00"/>
    <w:family w:val="roman"/>
    <w:pitch w:val="default"/>
  </w:font>
  <w:font w:name="Trebuchet MS Bold">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w:tabs>
        <w:tab w:val="right" w:pos="9000"/>
        <w:tab w:val="clear" w:pos="9026"/>
      </w:tabs>
      <w:rPr>
        <w:rtl w:val="0"/>
      </w:rPr>
    </w:pPr>
    <w:r>
      <w:rPr>
        <w:rFonts w:ascii="Trebuchet MS"/>
        <w:rtl w:val="0"/>
        <w:lang w:val="en-US"/>
      </w:rPr>
      <w:t>City Speaks</w:t>
    </w:r>
    <w:r>
      <w:rPr>
        <w:rFonts w:hAnsi="Trebuchet MS" w:hint="default"/>
        <w:rtl w:val="0"/>
        <w:lang w:val="en-US"/>
      </w:rPr>
      <w:t xml:space="preserve">’ </w:t>
    </w:r>
    <w:r>
      <w:rPr>
        <w:rFonts w:ascii="Trebuchet MS"/>
        <w:rtl w:val="0"/>
        <w:lang w:val="en-US"/>
      </w:rPr>
      <w:t>Commission Description</w:t>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multilevel"/>
    <w:lvl w:ilvl="0">
      <w:start w:val="1"/>
      <w:numFmt w:val="decimal"/>
      <w:suff w:val="tab"/>
      <w:lvlText w:val="%1."/>
      <w:lvlJc w:val="left"/>
      <w:pPr/>
      <w:rPr>
        <w:position w:val="0"/>
        <w:rtl w:val="0"/>
      </w:rPr>
    </w:lvl>
    <w:lvl w:ilvl="1">
      <w:start w:val="1"/>
      <w:numFmt w:val="decimal"/>
      <w:suff w:val="tab"/>
      <w:lvlText w:val="%1.%2."/>
      <w:lvlJc w:val="left"/>
      <w:pPr/>
      <w:rPr>
        <w:position w:val="0"/>
        <w:rtl w:val="0"/>
      </w:rPr>
    </w:lvl>
    <w:lvl w:ilvl="2">
      <w:start w:val="1"/>
      <w:numFmt w:val="decimal"/>
      <w:suff w:val="tab"/>
      <w:lvlText w:val="%1.%2.%3."/>
      <w:lvlJc w:val="left"/>
      <w:pPr/>
      <w:rPr>
        <w:position w:val="0"/>
        <w:rtl w:val="0"/>
      </w:rPr>
    </w:lvl>
    <w:lvl w:ilvl="3">
      <w:start w:val="1"/>
      <w:numFmt w:val="decimal"/>
      <w:suff w:val="tab"/>
      <w:lvlText w:val="%1.%2.%3.%4."/>
      <w:lvlJc w:val="left"/>
      <w:pPr/>
      <w:rPr>
        <w:position w:val="0"/>
        <w:rtl w:val="0"/>
      </w:rPr>
    </w:lvl>
    <w:lvl w:ilvl="4">
      <w:start w:val="1"/>
      <w:numFmt w:val="decimal"/>
      <w:suff w:val="tab"/>
      <w:lvlText w:val="%1.%2.%3.%4.%5."/>
      <w:lvlJc w:val="left"/>
      <w:pPr/>
      <w:rPr>
        <w:position w:val="0"/>
        <w:rtl w:val="0"/>
      </w:rPr>
    </w:lvl>
    <w:lvl w:ilvl="5">
      <w:start w:val="1"/>
      <w:numFmt w:val="decimal"/>
      <w:suff w:val="tab"/>
      <w:lvlText w:val="%1.%2.%3.%4.%5.%6."/>
      <w:lvlJc w:val="left"/>
      <w:pPr/>
      <w:rPr>
        <w:position w:val="0"/>
        <w:rtl w:val="0"/>
      </w:rPr>
    </w:lvl>
    <w:lvl w:ilvl="6">
      <w:start w:val="1"/>
      <w:numFmt w:val="decimal"/>
      <w:suff w:val="tab"/>
      <w:lvlText w:val="%1.%2.%3.%4.%5.%6.%7."/>
      <w:lvlJc w:val="left"/>
      <w:pPr/>
      <w:rPr>
        <w:position w:val="0"/>
        <w:rtl w:val="0"/>
      </w:rPr>
    </w:lvl>
    <w:lvl w:ilvl="7">
      <w:start w:val="1"/>
      <w:numFmt w:val="decimal"/>
      <w:suff w:val="tab"/>
      <w:lvlText w:val="%1.%2.%3.%4.%5.%6.%7.%8."/>
      <w:lvlJc w:val="left"/>
      <w:pPr/>
      <w:rPr>
        <w:position w:val="0"/>
        <w:rtl w:val="0"/>
      </w:rPr>
    </w:lvl>
    <w:lvl w:ilvl="8">
      <w:start w:val="1"/>
      <w:numFmt w:val="decimal"/>
      <w:suff w:val="tab"/>
      <w:lvlText w:val="%1.%2.%3.%4.%5.%6.%7.%8.%9."/>
      <w:lvlJc w:val="left"/>
      <w:pPr/>
      <w:rPr>
        <w:position w:val="0"/>
        <w:rtl w:val="0"/>
      </w:rPr>
    </w:lvl>
  </w:abstractNum>
  <w:abstractNum w:abstractNumId="1">
    <w:multiLevelType w:val="multilevel"/>
    <w:lvl w:ilvl="0">
      <w:start w:val="1"/>
      <w:numFmt w:val="decimal"/>
      <w:suff w:val="tab"/>
      <w:lvlText w:val="%1."/>
      <w:lvlJc w:val="left"/>
      <w:pPr/>
      <w:rPr>
        <w:position w:val="0"/>
      </w:rPr>
    </w:lvl>
    <w:lvl w:ilvl="1">
      <w:start w:val="1"/>
      <w:numFmt w:val="decimal"/>
      <w:suff w:val="tab"/>
      <w:lvlText w:val="%1.%2."/>
      <w:lvlJc w:val="left"/>
      <w:pPr/>
      <w:rPr>
        <w:position w:val="0"/>
      </w:rPr>
    </w:lvl>
    <w:lvl w:ilvl="2">
      <w:start w:val="1"/>
      <w:numFmt w:val="decimal"/>
      <w:suff w:val="tab"/>
      <w:lvlText w:val="%1.%2.%3."/>
      <w:lvlJc w:val="left"/>
      <w:pPr/>
      <w:rPr>
        <w:position w:val="0"/>
      </w:rPr>
    </w:lvl>
    <w:lvl w:ilvl="3">
      <w:start w:val="1"/>
      <w:numFmt w:val="decimal"/>
      <w:suff w:val="tab"/>
      <w:lvlText w:val="%1.%2.%3.%4."/>
      <w:lvlJc w:val="left"/>
      <w:pPr/>
      <w:rPr>
        <w:position w:val="0"/>
      </w:rPr>
    </w:lvl>
    <w:lvl w:ilvl="4">
      <w:start w:val="1"/>
      <w:numFmt w:val="decimal"/>
      <w:suff w:val="tab"/>
      <w:lvlText w:val="%1.%2.%3.%4.%5."/>
      <w:lvlJc w:val="left"/>
      <w:pPr/>
      <w:rPr>
        <w:position w:val="0"/>
      </w:rPr>
    </w:lvl>
    <w:lvl w:ilvl="5">
      <w:start w:val="1"/>
      <w:numFmt w:val="decimal"/>
      <w:suff w:val="tab"/>
      <w:lvlText w:val="%1.%2.%3.%4.%5.%6."/>
      <w:lvlJc w:val="left"/>
      <w:pPr/>
      <w:rPr>
        <w:position w:val="0"/>
      </w:rPr>
    </w:lvl>
    <w:lvl w:ilvl="6">
      <w:start w:val="1"/>
      <w:numFmt w:val="decimal"/>
      <w:suff w:val="tab"/>
      <w:lvlText w:val="%1.%2.%3.%4.%5.%6.%7."/>
      <w:lvlJc w:val="left"/>
      <w:pPr/>
      <w:rPr>
        <w:position w:val="0"/>
      </w:rPr>
    </w:lvl>
    <w:lvl w:ilvl="7">
      <w:start w:val="1"/>
      <w:numFmt w:val="decimal"/>
      <w:suff w:val="tab"/>
      <w:lvlText w:val="%1.%2.%3.%4.%5.%6.%7.%8."/>
      <w:lvlJc w:val="left"/>
      <w:pPr/>
      <w:rPr>
        <w:position w:val="0"/>
      </w:rPr>
    </w:lvl>
    <w:lvl w:ilvl="8">
      <w:start w:val="1"/>
      <w:numFmt w:val="decimal"/>
      <w:suff w:val="tab"/>
      <w:lvlText w:val="%1.%2.%3.%4.%5.%6.%7.%8.%9."/>
      <w:lvlJc w:val="left"/>
      <w:pPr/>
      <w:rPr>
        <w:position w:val="0"/>
      </w:rPr>
    </w:lvl>
  </w:abstractNum>
  <w:abstractNum w:abstractNumId="2">
    <w:multiLevelType w:val="multilevel"/>
    <w:styleLink w:val="List 0"/>
    <w:lvl w:ilvl="0">
      <w:start w:val="1"/>
      <w:numFmt w:val="decimal"/>
      <w:suff w:val="tab"/>
      <w:lvlText w:val="%1."/>
      <w:lvlJc w:val="left"/>
      <w:pPr/>
      <w:rPr>
        <w:position w:val="0"/>
        <w:rtl w:val="0"/>
      </w:rPr>
    </w:lvl>
    <w:lvl w:ilvl="1">
      <w:start w:val="1"/>
      <w:numFmt w:val="decimal"/>
      <w:suff w:val="tab"/>
      <w:lvlText w:val="%1.%2."/>
      <w:lvlJc w:val="left"/>
      <w:pPr/>
      <w:rPr>
        <w:position w:val="0"/>
        <w:rtl w:val="0"/>
      </w:rPr>
    </w:lvl>
    <w:lvl w:ilvl="2">
      <w:start w:val="1"/>
      <w:numFmt w:val="decimal"/>
      <w:suff w:val="tab"/>
      <w:lvlText w:val="%1.%2.%3."/>
      <w:lvlJc w:val="left"/>
      <w:pPr/>
      <w:rPr>
        <w:position w:val="0"/>
        <w:rtl w:val="0"/>
      </w:rPr>
    </w:lvl>
    <w:lvl w:ilvl="3">
      <w:start w:val="1"/>
      <w:numFmt w:val="decimal"/>
      <w:suff w:val="tab"/>
      <w:lvlText w:val="%1.%2.%3.%4."/>
      <w:lvlJc w:val="left"/>
      <w:pPr/>
      <w:rPr>
        <w:position w:val="0"/>
        <w:rtl w:val="0"/>
      </w:rPr>
    </w:lvl>
    <w:lvl w:ilvl="4">
      <w:start w:val="1"/>
      <w:numFmt w:val="decimal"/>
      <w:suff w:val="tab"/>
      <w:lvlText w:val="%1.%2.%3.%4.%5."/>
      <w:lvlJc w:val="left"/>
      <w:pPr/>
      <w:rPr>
        <w:position w:val="0"/>
        <w:rtl w:val="0"/>
      </w:rPr>
    </w:lvl>
    <w:lvl w:ilvl="5">
      <w:start w:val="1"/>
      <w:numFmt w:val="decimal"/>
      <w:suff w:val="tab"/>
      <w:lvlText w:val="%1.%2.%3.%4.%5.%6."/>
      <w:lvlJc w:val="left"/>
      <w:pPr/>
      <w:rPr>
        <w:position w:val="0"/>
        <w:rtl w:val="0"/>
      </w:rPr>
    </w:lvl>
    <w:lvl w:ilvl="6">
      <w:start w:val="1"/>
      <w:numFmt w:val="decimal"/>
      <w:suff w:val="tab"/>
      <w:lvlText w:val="%1.%2.%3.%4.%5.%6.%7."/>
      <w:lvlJc w:val="left"/>
      <w:pPr/>
      <w:rPr>
        <w:position w:val="0"/>
        <w:rtl w:val="0"/>
      </w:rPr>
    </w:lvl>
    <w:lvl w:ilvl="7">
      <w:start w:val="1"/>
      <w:numFmt w:val="decimal"/>
      <w:suff w:val="tab"/>
      <w:lvlText w:val="%1.%2.%3.%4.%5.%6.%7.%8."/>
      <w:lvlJc w:val="left"/>
      <w:pPr/>
      <w:rPr>
        <w:position w:val="0"/>
        <w:rtl w:val="0"/>
      </w:rPr>
    </w:lvl>
    <w:lvl w:ilvl="8">
      <w:start w:val="1"/>
      <w:numFmt w:val="decimal"/>
      <w:suff w:val="tab"/>
      <w:lvlText w:val="%1.%2.%3.%4.%5.%6.%7.%8.%9."/>
      <w:lvlJc w:val="left"/>
      <w:pPr/>
      <w:rPr>
        <w:position w:val="0"/>
        <w:rtl w:val="0"/>
      </w:rPr>
    </w:lvl>
  </w:abstractNum>
  <w:abstractNum w:abstractNumId="3">
    <w:multiLevelType w:val="multilevel"/>
    <w:lvl w:ilvl="0">
      <w:start w:val="1"/>
      <w:numFmt w:val="decimal"/>
      <w:suff w:val="tab"/>
      <w:lvlText w:val="%1."/>
      <w:lvlJc w:val="left"/>
      <w:pPr/>
      <w:rPr>
        <w:color w:val="000000"/>
        <w:position w:val="0"/>
      </w:rPr>
    </w:lvl>
    <w:lvl w:ilvl="1">
      <w:start w:val="1"/>
      <w:numFmt w:val="decimal"/>
      <w:suff w:val="tab"/>
      <w:lvlText w:val="%1.%2."/>
      <w:lvlJc w:val="left"/>
      <w:pPr/>
      <w:rPr>
        <w:color w:val="000000"/>
        <w:position w:val="0"/>
      </w:rPr>
    </w:lvl>
    <w:lvl w:ilvl="2">
      <w:start w:val="1"/>
      <w:numFmt w:val="decimal"/>
      <w:suff w:val="tab"/>
      <w:lvlText w:val="%1.%2.%3."/>
      <w:lvlJc w:val="left"/>
      <w:pPr/>
      <w:rPr>
        <w:color w:val="000000"/>
        <w:position w:val="0"/>
      </w:rPr>
    </w:lvl>
    <w:lvl w:ilvl="3">
      <w:start w:val="1"/>
      <w:numFmt w:val="decimal"/>
      <w:suff w:val="tab"/>
      <w:lvlText w:val="%1.%2.%3.%4."/>
      <w:lvlJc w:val="left"/>
      <w:pPr/>
      <w:rPr>
        <w:color w:val="000000"/>
        <w:position w:val="0"/>
      </w:rPr>
    </w:lvl>
    <w:lvl w:ilvl="4">
      <w:start w:val="1"/>
      <w:numFmt w:val="decimal"/>
      <w:suff w:val="tab"/>
      <w:lvlText w:val="%1.%2.%3.%4.%5."/>
      <w:lvlJc w:val="left"/>
      <w:pPr/>
      <w:rPr>
        <w:color w:val="000000"/>
        <w:position w:val="0"/>
      </w:rPr>
    </w:lvl>
    <w:lvl w:ilvl="5">
      <w:start w:val="1"/>
      <w:numFmt w:val="decimal"/>
      <w:suff w:val="tab"/>
      <w:lvlText w:val="%1.%2.%3.%4.%5.%6."/>
      <w:lvlJc w:val="left"/>
      <w:pPr/>
      <w:rPr>
        <w:color w:val="000000"/>
        <w:position w:val="0"/>
      </w:rPr>
    </w:lvl>
    <w:lvl w:ilvl="6">
      <w:start w:val="1"/>
      <w:numFmt w:val="decimal"/>
      <w:suff w:val="tab"/>
      <w:lvlText w:val="%1.%2.%3.%4.%5.%6.%7."/>
      <w:lvlJc w:val="left"/>
      <w:pPr/>
      <w:rPr>
        <w:color w:val="000000"/>
        <w:position w:val="0"/>
      </w:rPr>
    </w:lvl>
    <w:lvl w:ilvl="7">
      <w:start w:val="1"/>
      <w:numFmt w:val="decimal"/>
      <w:suff w:val="tab"/>
      <w:lvlText w:val="%1.%2.%3.%4.%5.%6.%7.%8."/>
      <w:lvlJc w:val="left"/>
      <w:pPr/>
      <w:rPr>
        <w:color w:val="000000"/>
        <w:position w:val="0"/>
      </w:rPr>
    </w:lvl>
    <w:lvl w:ilvl="8">
      <w:start w:val="1"/>
      <w:numFmt w:val="decimal"/>
      <w:suff w:val="tab"/>
      <w:lvlText w:val="%1.%2.%3.%4.%5.%6.%7.%8.%9."/>
      <w:lvlJc w:val="left"/>
      <w:pPr/>
      <w:rPr>
        <w:color w:val="000000"/>
        <w:position w:val="0"/>
      </w:rPr>
    </w:lvl>
  </w:abstractNum>
  <w:abstractNum w:abstractNumId="4">
    <w:multiLevelType w:val="multilevel"/>
    <w:styleLink w:val="List 1"/>
    <w:lvl w:ilvl="0">
      <w:start w:val="1"/>
      <w:numFmt w:val="decimal"/>
      <w:suff w:val="tab"/>
      <w:lvlText w:val="%1."/>
      <w:lvlJc w:val="left"/>
      <w:pPr/>
      <w:rPr>
        <w:color w:val="000000"/>
        <w:position w:val="0"/>
      </w:rPr>
    </w:lvl>
    <w:lvl w:ilvl="1">
      <w:start w:val="4"/>
      <w:numFmt w:val="decimal"/>
      <w:suff w:val="tab"/>
      <w:lvlText w:val="%1.%2."/>
      <w:lvlJc w:val="left"/>
      <w:pPr/>
      <w:rPr>
        <w:color w:val="000000"/>
        <w:position w:val="0"/>
      </w:rPr>
    </w:lvl>
    <w:lvl w:ilvl="2">
      <w:start w:val="1"/>
      <w:numFmt w:val="decimal"/>
      <w:suff w:val="tab"/>
      <w:lvlText w:val="%1.%2.%3."/>
      <w:lvlJc w:val="left"/>
      <w:pPr/>
      <w:rPr>
        <w:color w:val="000000"/>
        <w:position w:val="0"/>
      </w:rPr>
    </w:lvl>
    <w:lvl w:ilvl="3">
      <w:start w:val="1"/>
      <w:numFmt w:val="decimal"/>
      <w:suff w:val="tab"/>
      <w:lvlText w:val="%1.%2.%3.%4."/>
      <w:lvlJc w:val="left"/>
      <w:pPr/>
      <w:rPr>
        <w:color w:val="000000"/>
        <w:position w:val="0"/>
      </w:rPr>
    </w:lvl>
    <w:lvl w:ilvl="4">
      <w:start w:val="1"/>
      <w:numFmt w:val="decimal"/>
      <w:suff w:val="tab"/>
      <w:lvlText w:val="%1.%2.%3.%4.%5."/>
      <w:lvlJc w:val="left"/>
      <w:pPr/>
      <w:rPr>
        <w:color w:val="000000"/>
        <w:position w:val="0"/>
      </w:rPr>
    </w:lvl>
    <w:lvl w:ilvl="5">
      <w:start w:val="1"/>
      <w:numFmt w:val="decimal"/>
      <w:suff w:val="tab"/>
      <w:lvlText w:val="%1.%2.%3.%4.%5.%6."/>
      <w:lvlJc w:val="left"/>
      <w:pPr/>
      <w:rPr>
        <w:color w:val="000000"/>
        <w:position w:val="0"/>
      </w:rPr>
    </w:lvl>
    <w:lvl w:ilvl="6">
      <w:start w:val="1"/>
      <w:numFmt w:val="decimal"/>
      <w:suff w:val="tab"/>
      <w:lvlText w:val="%1.%2.%3.%4.%5.%6.%7."/>
      <w:lvlJc w:val="left"/>
      <w:pPr/>
      <w:rPr>
        <w:color w:val="000000"/>
        <w:position w:val="0"/>
      </w:rPr>
    </w:lvl>
    <w:lvl w:ilvl="7">
      <w:start w:val="1"/>
      <w:numFmt w:val="decimal"/>
      <w:suff w:val="tab"/>
      <w:lvlText w:val="%1.%2.%3.%4.%5.%6.%7.%8."/>
      <w:lvlJc w:val="left"/>
      <w:pPr/>
      <w:rPr>
        <w:color w:val="000000"/>
        <w:position w:val="0"/>
      </w:rPr>
    </w:lvl>
    <w:lvl w:ilvl="8">
      <w:start w:val="1"/>
      <w:numFmt w:val="decimal"/>
      <w:suff w:val="tab"/>
      <w:lvlText w:val="%1.%2.%3.%4.%5.%6.%7.%8.%9."/>
      <w:lvlJc w:val="left"/>
      <w:pPr/>
      <w:rPr>
        <w:color w:val="000000"/>
        <w:position w:val="0"/>
      </w:rPr>
    </w:lvl>
  </w:abstractNum>
  <w:abstractNum w:abstractNumId="5">
    <w:multiLevelType w:val="multilevel"/>
    <w:styleLink w:val="List 0"/>
    <w:lvl w:ilvl="0">
      <w:start w:val="2"/>
      <w:numFmt w:val="decimal"/>
      <w:suff w:val="tab"/>
      <w:lvlText w:val="%1."/>
      <w:lvlJc w:val="left"/>
      <w:pPr/>
      <w:rPr>
        <w:rFonts w:ascii="Trebuchet MS Bold" w:cs="Trebuchet MS Bold" w:hAnsi="Trebuchet MS Bold" w:eastAsia="Trebuchet MS Bold"/>
        <w:b w:val="1"/>
        <w:bCs w:val="1"/>
        <w:position w:val="0"/>
      </w:rPr>
    </w:lvl>
    <w:lvl w:ilvl="1">
      <w:start w:val="1"/>
      <w:numFmt w:val="decimal"/>
      <w:suff w:val="tab"/>
      <w:lvlText w:val="%1.%2."/>
      <w:lvlJc w:val="left"/>
      <w:pPr/>
      <w:rPr>
        <w:rFonts w:ascii="Calibri" w:cs="Calibri" w:hAnsi="Calibri" w:eastAsia="Calibri"/>
        <w:b w:val="1"/>
        <w:bCs w:val="1"/>
        <w:position w:val="0"/>
      </w:rPr>
    </w:lvl>
    <w:lvl w:ilvl="2">
      <w:start w:val="1"/>
      <w:numFmt w:val="decimal"/>
      <w:suff w:val="tab"/>
      <w:lvlText w:val="%1.%2.%3."/>
      <w:lvlJc w:val="left"/>
      <w:pPr/>
      <w:rPr>
        <w:rFonts w:ascii="Calibri" w:cs="Calibri" w:hAnsi="Calibri" w:eastAsia="Calibri"/>
        <w:b w:val="1"/>
        <w:bCs w:val="1"/>
        <w:position w:val="0"/>
      </w:rPr>
    </w:lvl>
    <w:lvl w:ilvl="3">
      <w:start w:val="1"/>
      <w:numFmt w:val="decimal"/>
      <w:suff w:val="tab"/>
      <w:lvlText w:val="%1.%2.%3.%4."/>
      <w:lvlJc w:val="left"/>
      <w:pPr/>
      <w:rPr>
        <w:rFonts w:ascii="Calibri" w:cs="Calibri" w:hAnsi="Calibri" w:eastAsia="Calibri"/>
        <w:b w:val="1"/>
        <w:bCs w:val="1"/>
        <w:position w:val="0"/>
      </w:rPr>
    </w:lvl>
    <w:lvl w:ilvl="4">
      <w:start w:val="1"/>
      <w:numFmt w:val="decimal"/>
      <w:suff w:val="tab"/>
      <w:lvlText w:val="%1.%2.%3.%4.%5."/>
      <w:lvlJc w:val="left"/>
      <w:pPr/>
      <w:rPr>
        <w:rFonts w:ascii="Calibri" w:cs="Calibri" w:hAnsi="Calibri" w:eastAsia="Calibri"/>
        <w:b w:val="1"/>
        <w:bCs w:val="1"/>
        <w:position w:val="0"/>
      </w:rPr>
    </w:lvl>
    <w:lvl w:ilvl="5">
      <w:start w:val="1"/>
      <w:numFmt w:val="decimal"/>
      <w:suff w:val="tab"/>
      <w:lvlText w:val="%1.%2.%3.%4.%5.%6."/>
      <w:lvlJc w:val="left"/>
      <w:pPr/>
      <w:rPr>
        <w:rFonts w:ascii="Calibri" w:cs="Calibri" w:hAnsi="Calibri" w:eastAsia="Calibri"/>
        <w:b w:val="1"/>
        <w:bCs w:val="1"/>
        <w:position w:val="0"/>
      </w:rPr>
    </w:lvl>
    <w:lvl w:ilvl="6">
      <w:start w:val="1"/>
      <w:numFmt w:val="decimal"/>
      <w:suff w:val="tab"/>
      <w:lvlText w:val="%1.%2.%3.%4.%5.%6.%7."/>
      <w:lvlJc w:val="left"/>
      <w:pPr/>
      <w:rPr>
        <w:rFonts w:ascii="Calibri" w:cs="Calibri" w:hAnsi="Calibri" w:eastAsia="Calibri"/>
        <w:b w:val="1"/>
        <w:bCs w:val="1"/>
        <w:position w:val="0"/>
      </w:rPr>
    </w:lvl>
    <w:lvl w:ilvl="7">
      <w:start w:val="1"/>
      <w:numFmt w:val="decimal"/>
      <w:suff w:val="tab"/>
      <w:lvlText w:val="%1.%2.%3.%4.%5.%6.%7.%8."/>
      <w:lvlJc w:val="left"/>
      <w:pPr/>
      <w:rPr>
        <w:rFonts w:ascii="Calibri" w:cs="Calibri" w:hAnsi="Calibri" w:eastAsia="Calibri"/>
        <w:b w:val="1"/>
        <w:bCs w:val="1"/>
        <w:position w:val="0"/>
      </w:rPr>
    </w:lvl>
    <w:lvl w:ilvl="8">
      <w:start w:val="1"/>
      <w:numFmt w:val="decimal"/>
      <w:suff w:val="tab"/>
      <w:lvlText w:val="%1.%2.%3.%4.%5.%6.%7.%8.%9."/>
      <w:lvlJc w:val="left"/>
      <w:pPr/>
      <w:rPr>
        <w:rFonts w:ascii="Calibri" w:cs="Calibri" w:hAnsi="Calibri" w:eastAsia="Calibri"/>
        <w:b w:val="1"/>
        <w:bCs w:val="1"/>
        <w:position w:val="0"/>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513"/>
        <w:tab w:val="right" w:pos="9026"/>
      </w:tabs>
      <w:suppressAutoHyphens w:val="0"/>
      <w:bidi w:val="0"/>
      <w:spacing w:before="0" w:after="0" w:line="240"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Helvetica" w:hAnsi="Helvetica" w:eastAsia="Helvetica"/>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vertAlign w:val="baseline"/>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0" w:line="240" w:lineRule="auto"/>
      <w:ind w:left="72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numbering" w:styleId="List 0">
    <w:name w:val="List 0"/>
    <w:basedOn w:val="Imported Style 1"/>
    <w:next w:val="List 0"/>
    <w:pPr>
      <w:numPr>
        <w:numId w:val="1"/>
      </w:numPr>
    </w:pPr>
  </w:style>
  <w:style w:type="numbering" w:styleId="Imported Style 1">
    <w:name w:val="Imported Style 1"/>
    <w:next w:val="Imported Style 1"/>
    <w:pPr>
      <w:numPr>
        <w:numId w:val="2"/>
      </w:numPr>
    </w:pPr>
  </w:style>
  <w:style w:type="character" w:styleId="Link">
    <w:name w:val="Link"/>
    <w:rPr>
      <w:color w:val="0563c1"/>
      <w:u w:val="single" w:color="0563c1"/>
    </w:rPr>
  </w:style>
  <w:style w:type="character" w:styleId="Hyperlink.0">
    <w:name w:val="Hyperlink.0"/>
    <w:basedOn w:val="Link"/>
    <w:next w:val="Hyperlink.0"/>
    <w:rPr>
      <w:rFonts w:ascii="Calibri" w:cs="Calibri" w:hAnsi="Calibri" w:eastAsia="Calibri"/>
      <w:sz w:val="22"/>
      <w:szCs w:val="22"/>
      <w:u w:color="0000e9"/>
      <w:lang w:val="en-US"/>
    </w:rPr>
  </w:style>
  <w:style w:type="numbering" w:styleId="List 1">
    <w:name w:val="List 1"/>
    <w:basedOn w:val="Imported Style 1"/>
    <w:next w:val="List 1"/>
    <w:pPr>
      <w:numPr>
        <w:numId w:val="4"/>
      </w:numPr>
    </w:pPr>
  </w:style>
</w:style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numbering" Target="numbering.xml"/><Relationship Id="rId2" Type="http://schemas.openxmlformats.org/officeDocument/2006/relationships/fontTable" Target="fontTable.xml"/><Relationship Id="rId1" Type="http://schemas.openxmlformats.org/officeDocument/2006/relationships/settings" Target="setting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header" Target="header1.xml"/><Relationship Id="rId10" Type="http://schemas.openxmlformats.org/officeDocument/2006/relationships/customXml" Target="../customXml/item2.xml"/><Relationship Id="rId4" Type="http://schemas.openxmlformats.org/officeDocument/2006/relationships/hyperlink" Target="https://youtu.be/3kExOCrtpJY" TargetMode="External"/><Relationship Id="rId9" Type="http://schemas.openxmlformats.org/officeDocument/2006/relationships/customXml" Target="../customXml/item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9" ma:contentTypeDescription="Create a new document." ma:contentTypeScope="" ma:versionID="3461e9ca063bea6fba86aead096f34a4">
  <xsd:schema xmlns:xsd="http://www.w3.org/2001/XMLSchema" xmlns:xs="http://www.w3.org/2001/XMLSchema" xmlns:p="http://schemas.microsoft.com/office/2006/metadata/properties" xmlns:ns2="80129174-c05c-43cc-8e32-21fcbdfe51bb" xmlns:ns3="958b15ed-c521-4290-b073-2e98d4cc1d7f" targetNamespace="http://schemas.microsoft.com/office/2006/metadata/properties" ma:root="true" ma:fieldsID="9d5db585cafcf91418be2bee6753ea20" ns2:_="" ns3:_="">
    <xsd:import namespace="80129174-c05c-43cc-8e32-21fcbdfe51bb"/>
    <xsd:import namespace="958b15ed-c521-4290-b073-2e98d4cc1d7f"/>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37BCB73-C704-45D2-AF47-A4BFF67DE763}"/>
</file>

<file path=customXml/itemProps2.xml><?xml version="1.0" encoding="utf-8"?>
<ds:datastoreItem xmlns:ds="http://schemas.openxmlformats.org/officeDocument/2006/customXml" ds:itemID="{0865B1D7-478D-4427-871C-D2AED2749C75}"/>
</file>

<file path=customXml/itemProps3.xml><?xml version="1.0" encoding="utf-8"?>
<ds:datastoreItem xmlns:ds="http://schemas.openxmlformats.org/officeDocument/2006/customXml" ds:itemID="{309BE085-0171-4ABC-A7FB-E034BAD5085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