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5507A9" w:rsidP="00EA2C24" w:rsidRDefault="005507A9" w14:paraId="4D6C70B3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Book Antiqua" w:hAnsi="Book Antiqua" w:cs="Arial"/>
          <w:color w:val="000000"/>
          <w:sz w:val="20"/>
          <w:szCs w:val="20"/>
        </w:rPr>
      </w:pPr>
      <w:bookmarkStart w:name="_GoBack" w:id="0"/>
      <w:bookmarkEnd w:id="0"/>
    </w:p>
    <w:p w:rsidRPr="00AD257A" w:rsidR="003E24ED" w:rsidP="007A3501" w:rsidRDefault="003E24ED" w14:paraId="542C61BC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44"/>
          <w:szCs w:val="44"/>
        </w:rPr>
      </w:pPr>
      <w:r w:rsidRPr="00AD257A">
        <w:rPr>
          <w:rFonts w:ascii="Gadugi" w:hAnsi="Gadugi" w:cs="Arial"/>
          <w:color w:val="000000"/>
          <w:sz w:val="44"/>
          <w:szCs w:val="44"/>
        </w:rPr>
        <w:t xml:space="preserve">How to Avoid an Identity Crisis – </w:t>
      </w:r>
      <w:proofErr w:type="spellStart"/>
      <w:r w:rsidRPr="00AD257A">
        <w:rPr>
          <w:rFonts w:ascii="Gadugi" w:hAnsi="Gadugi" w:cs="Arial"/>
          <w:i/>
          <w:iCs/>
          <w:color w:val="000000"/>
          <w:sz w:val="44"/>
          <w:szCs w:val="44"/>
        </w:rPr>
        <w:t>Hullness</w:t>
      </w:r>
      <w:proofErr w:type="spellEnd"/>
      <w:r w:rsidRPr="00AD257A">
        <w:rPr>
          <w:rFonts w:ascii="Gadugi" w:hAnsi="Gadugi" w:cs="Arial"/>
          <w:color w:val="000000"/>
          <w:sz w:val="44"/>
          <w:szCs w:val="44"/>
        </w:rPr>
        <w:t xml:space="preserve"> revisited</w:t>
      </w:r>
    </w:p>
    <w:p w:rsidRPr="002E1C42" w:rsidR="00AA2F6C" w:rsidP="00AA2F6C" w:rsidRDefault="00AA2F6C" w14:paraId="45AE59EA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</w:p>
    <w:p w:rsidR="002E1C42" w:rsidP="002E1C42" w:rsidRDefault="00AA2F6C" w14:paraId="4CBC4012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eastAsia="Times New Roman"/>
          <w:b/>
          <w:bCs/>
          <w:i/>
          <w:iCs/>
          <w:color w:val="191919"/>
          <w:sz w:val="24"/>
          <w:szCs w:val="24"/>
          <w:bdr w:val="none" w:color="auto" w:sz="0" w:space="0" w:frame="1"/>
          <w:lang w:eastAsia="zh-CN"/>
        </w:rPr>
      </w:pPr>
      <w:r w:rsidRPr="002E1C42">
        <w:rPr>
          <w:rFonts w:ascii="Gadugi" w:hAnsi="Gadugi" w:cs="Arial"/>
          <w:b/>
          <w:bCs/>
          <w:color w:val="000000"/>
          <w:sz w:val="24"/>
          <w:szCs w:val="24"/>
        </w:rPr>
        <w:t>An invitation</w:t>
      </w:r>
      <w:r w:rsidRPr="002E1C42">
        <w:rPr>
          <w:rFonts w:ascii="Gadugi" w:hAnsi="Gadugi" w:cs="Arial"/>
          <w:color w:val="000000"/>
          <w:sz w:val="24"/>
          <w:szCs w:val="24"/>
        </w:rPr>
        <w:t xml:space="preserve"> to discuss</w:t>
      </w:r>
      <w:r w:rsidRPr="002E1C42" w:rsidR="00AD257A">
        <w:rPr>
          <w:rFonts w:ascii="Gadugi" w:hAnsi="Gadugi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2E1C42" w:rsidR="00AD257A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2E1C42" w:rsidR="00AD257A">
        <w:rPr>
          <w:rFonts w:ascii="Gadugi" w:hAnsi="Gadugi" w:cs="Arial"/>
          <w:i/>
          <w:iCs/>
          <w:color w:val="000000"/>
          <w:sz w:val="24"/>
          <w:szCs w:val="24"/>
        </w:rPr>
        <w:t xml:space="preserve"> </w:t>
      </w:r>
      <w:r w:rsidRPr="002E1C42" w:rsidR="00AD257A">
        <w:rPr>
          <w:rFonts w:ascii="Gadugi" w:hAnsi="Gadugi" w:cs="Arial"/>
          <w:color w:val="000000"/>
          <w:sz w:val="24"/>
          <w:szCs w:val="24"/>
        </w:rPr>
        <w:t>as part of the</w:t>
      </w:r>
      <w:r w:rsidRPr="002E1C42" w:rsidR="00AD257A">
        <w:rPr>
          <w:rFonts w:ascii="Gadugi" w:hAnsi="Gadugi" w:cs="Arial"/>
          <w:i/>
          <w:iCs/>
          <w:color w:val="000000"/>
          <w:sz w:val="24"/>
          <w:szCs w:val="24"/>
        </w:rPr>
        <w:t xml:space="preserve"> </w:t>
      </w:r>
      <w:r w:rsidRPr="002E1C42" w:rsidR="00AD257A">
        <w:rPr>
          <w:rFonts w:ascii="Gadugi" w:hAnsi="Gadugi" w:cs="Arial"/>
          <w:b/>
          <w:bCs/>
          <w:i/>
          <w:iCs/>
          <w:color w:val="000000"/>
          <w:sz w:val="24"/>
          <w:szCs w:val="24"/>
        </w:rPr>
        <w:t>Substance Future Forum</w:t>
      </w:r>
      <w:r w:rsidRPr="002E1C42" w:rsidR="00AD257A">
        <w:rPr>
          <w:rFonts w:ascii="Gadugi" w:hAnsi="Gadugi" w:cs="Arial"/>
          <w:i/>
          <w:iCs/>
          <w:color w:val="000000"/>
          <w:sz w:val="24"/>
          <w:szCs w:val="24"/>
        </w:rPr>
        <w:t>,</w:t>
      </w:r>
      <w:r w:rsidRPr="002E1C42" w:rsidR="00AD257A">
        <w:rPr>
          <w:rFonts w:ascii="Gadugi" w:hAnsi="Gadugi" w:eastAsia="Times New Roman"/>
          <w:color w:val="191919"/>
          <w:sz w:val="24"/>
          <w:szCs w:val="24"/>
          <w:bdr w:val="none" w:color="auto" w:sz="0" w:space="0" w:frame="1"/>
          <w:lang w:eastAsia="zh-CN"/>
        </w:rPr>
        <w:t xml:space="preserve"> and </w:t>
      </w:r>
      <w:r w:rsidRPr="002E1C42" w:rsidR="00AD257A">
        <w:rPr>
          <w:rFonts w:ascii="Gadugi" w:hAnsi="Gadugi" w:eastAsia="Times New Roman"/>
          <w:b/>
          <w:bCs/>
          <w:i/>
          <w:iCs/>
          <w:color w:val="191919"/>
          <w:sz w:val="24"/>
          <w:szCs w:val="24"/>
          <w:bdr w:val="none" w:color="auto" w:sz="0" w:space="0" w:frame="1"/>
          <w:lang w:eastAsia="zh-CN"/>
        </w:rPr>
        <w:t>Substance F</w:t>
      </w:r>
      <w:r w:rsidR="002E1C42">
        <w:rPr>
          <w:rFonts w:ascii="Gadugi" w:hAnsi="Gadugi" w:eastAsia="Times New Roman"/>
          <w:b/>
          <w:bCs/>
          <w:i/>
          <w:iCs/>
          <w:color w:val="191919"/>
          <w:sz w:val="24"/>
          <w:szCs w:val="24"/>
          <w:bdr w:val="none" w:color="auto" w:sz="0" w:space="0" w:frame="1"/>
          <w:lang w:eastAsia="zh-CN"/>
        </w:rPr>
        <w:t>estival</w:t>
      </w:r>
    </w:p>
    <w:p w:rsidRPr="002E1C42" w:rsidR="00AD257A" w:rsidP="002E1C42" w:rsidRDefault="00AD257A" w14:paraId="6CF2D91D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b/>
          <w:bCs/>
          <w:i/>
          <w:iCs/>
          <w:color w:val="000000"/>
          <w:sz w:val="24"/>
          <w:szCs w:val="24"/>
        </w:rPr>
      </w:pPr>
      <w:r w:rsidRPr="00AD257A">
        <w:rPr>
          <w:rFonts w:ascii="Gadugi" w:hAnsi="Gadugi" w:eastAsia="Times New Roman"/>
          <w:color w:val="191919"/>
          <w:sz w:val="24"/>
          <w:szCs w:val="24"/>
          <w:bdr w:val="none" w:color="auto" w:sz="0" w:space="0" w:frame="1"/>
          <w:lang w:eastAsia="zh-CN"/>
        </w:rPr>
        <w:t xml:space="preserve">Hull Minster &amp; Humber Street </w:t>
      </w:r>
      <w:r>
        <w:rPr>
          <w:rFonts w:ascii="Gadugi" w:hAnsi="Gadugi" w:eastAsia="Times New Roman"/>
          <w:color w:val="191919"/>
          <w:sz w:val="24"/>
          <w:szCs w:val="24"/>
          <w:bdr w:val="none" w:color="auto" w:sz="0" w:space="0" w:frame="1"/>
          <w:lang w:eastAsia="zh-CN"/>
        </w:rPr>
        <w:t xml:space="preserve">district, </w:t>
      </w:r>
      <w:r w:rsidRPr="00AD257A">
        <w:rPr>
          <w:rFonts w:ascii="Gadugi" w:hAnsi="Gadugi" w:cs="Arial"/>
          <w:color w:val="000000"/>
          <w:sz w:val="24"/>
          <w:szCs w:val="24"/>
        </w:rPr>
        <w:t>Hull,</w:t>
      </w:r>
      <w:r>
        <w:rPr>
          <w:rFonts w:ascii="Gadugi" w:hAnsi="Gadugi" w:cs="Arial"/>
          <w:color w:val="000000"/>
          <w:sz w:val="24"/>
          <w:szCs w:val="24"/>
        </w:rPr>
        <w:t xml:space="preserve"> 7</w:t>
      </w:r>
      <w:r w:rsidRPr="00AD257A">
        <w:rPr>
          <w:rFonts w:ascii="Gadugi" w:hAnsi="Gadugi" w:cs="Arial"/>
          <w:color w:val="000000"/>
          <w:sz w:val="24"/>
          <w:szCs w:val="24"/>
          <w:vertAlign w:val="superscript"/>
        </w:rPr>
        <w:t>th</w:t>
      </w:r>
      <w:r w:rsidR="002E1C42">
        <w:rPr>
          <w:rFonts w:ascii="Gadugi" w:hAnsi="Gadugi" w:cs="Arial"/>
          <w:color w:val="000000"/>
          <w:sz w:val="24"/>
          <w:szCs w:val="24"/>
        </w:rPr>
        <w:t xml:space="preserve"> Decem</w:t>
      </w:r>
      <w:r w:rsidRPr="00AD257A">
        <w:rPr>
          <w:rFonts w:ascii="Gadugi" w:hAnsi="Gadugi" w:cs="Arial"/>
          <w:color w:val="000000"/>
          <w:sz w:val="24"/>
          <w:szCs w:val="24"/>
        </w:rPr>
        <w:t>ber</w:t>
      </w:r>
      <w:r w:rsidR="002E1C42">
        <w:rPr>
          <w:rFonts w:ascii="Gadugi" w:hAnsi="Gadugi" w:cs="Arial"/>
          <w:color w:val="000000"/>
          <w:sz w:val="24"/>
          <w:szCs w:val="24"/>
        </w:rPr>
        <w:t xml:space="preserve"> 0930-1900 </w:t>
      </w:r>
      <w:r w:rsidRPr="002E1C42">
        <w:rPr>
          <w:rFonts w:ascii="Gadugi" w:hAnsi="Gadugi" w:cs="Arial"/>
          <w:color w:val="000000"/>
          <w:sz w:val="24"/>
          <w:szCs w:val="24"/>
        </w:rPr>
        <w:t>(</w:t>
      </w:r>
      <w:hyperlink w:history="1" r:id="rId8">
        <w:r w:rsidRPr="002E1C42">
          <w:rPr>
            <w:rStyle w:val="Hyperlink"/>
            <w:rFonts w:ascii="Gadugi" w:hAnsi="Gadugi" w:cs="Arial"/>
            <w:sz w:val="24"/>
            <w:szCs w:val="24"/>
          </w:rPr>
          <w:t>www.hull2017.co.uk/whatson/events/substance/</w:t>
        </w:r>
      </w:hyperlink>
      <w:r w:rsidR="002E1C42">
        <w:rPr>
          <w:rFonts w:ascii="Gadugi" w:hAnsi="Gadugi" w:cs="Arial"/>
          <w:color w:val="000000"/>
          <w:sz w:val="24"/>
          <w:szCs w:val="24"/>
        </w:rPr>
        <w:t>)</w:t>
      </w:r>
    </w:p>
    <w:p w:rsidRPr="00AD257A" w:rsidR="00AA2F6C" w:rsidP="00AA2F6C" w:rsidRDefault="00AA2F6C" w14:paraId="3B8020ED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</w:p>
    <w:p w:rsidRPr="00AD257A" w:rsidR="00AA2F6C" w:rsidP="00AA2F6C" w:rsidRDefault="002E1C42" w14:paraId="3D7BF372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  <w:r>
        <w:rPr>
          <w:rFonts w:ascii="Gadugi" w:hAnsi="Gadugi" w:cs="Arial"/>
          <w:b/>
          <w:bCs/>
          <w:i/>
          <w:iCs/>
          <w:color w:val="000000"/>
          <w:sz w:val="24"/>
          <w:szCs w:val="24"/>
        </w:rPr>
        <w:t>The theme:</w:t>
      </w:r>
      <w:r w:rsidRPr="002E1C42">
        <w:rPr>
          <w:rFonts w:ascii="Gadugi" w:hAnsi="Gadugi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Gadugi" w:hAnsi="Gadugi" w:cs="Arial"/>
          <w:b/>
          <w:bCs/>
          <w:i/>
          <w:iCs/>
          <w:color w:val="000000"/>
          <w:sz w:val="24"/>
          <w:szCs w:val="24"/>
        </w:rPr>
        <w:t xml:space="preserve">  </w:t>
      </w:r>
      <w:r w:rsidRPr="00AD257A" w:rsidR="00AA2F6C">
        <w:rPr>
          <w:rFonts w:ascii="Gadugi" w:hAnsi="Gadugi" w:cs="Arial"/>
          <w:color w:val="000000"/>
          <w:sz w:val="24"/>
          <w:szCs w:val="24"/>
        </w:rPr>
        <w:t xml:space="preserve">Between 2009 and 2012 a community-focused research project and exhibition explored the nature of Hull’s distinctive identity or, in the project’s terms, the city’s </w:t>
      </w:r>
      <w:proofErr w:type="spellStart"/>
      <w:r w:rsidRPr="00AD257A" w:rsidR="00AA2F6C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 w:rsidR="00AA2F6C">
        <w:rPr>
          <w:rFonts w:ascii="Gadugi" w:hAnsi="Gadugi" w:cs="Arial"/>
          <w:color w:val="000000"/>
          <w:sz w:val="24"/>
          <w:szCs w:val="24"/>
        </w:rPr>
        <w:t xml:space="preserve"> and sense of place.  This session revisits this earlier attempt to capture Hull’s ‘spirit of place’ and explores how understandings of </w:t>
      </w:r>
      <w:proofErr w:type="spellStart"/>
      <w:r w:rsidRPr="00AD257A" w:rsidR="00AA2F6C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 w:rsidR="00AA2F6C">
        <w:rPr>
          <w:rFonts w:ascii="Gadugi" w:hAnsi="Gadugi" w:cs="Arial"/>
          <w:color w:val="000000"/>
          <w:sz w:val="24"/>
          <w:szCs w:val="24"/>
        </w:rPr>
        <w:t xml:space="preserve"> have shifted and developed as a result of Hull 2017.  </w:t>
      </w:r>
    </w:p>
    <w:p w:rsidRPr="00AD257A" w:rsidR="00FE122C" w:rsidP="00AA2F6C" w:rsidRDefault="00FE122C" w14:paraId="573743F7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  <w:r w:rsidRPr="00AD257A">
        <w:rPr>
          <w:rFonts w:ascii="Gadugi" w:hAnsi="Gadugi" w:cs="Arial"/>
          <w:color w:val="000000"/>
          <w:sz w:val="24"/>
          <w:szCs w:val="24"/>
        </w:rPr>
        <w:t xml:space="preserve"> </w:t>
      </w:r>
    </w:p>
    <w:p w:rsidRPr="00AD257A" w:rsidR="00FE122C" w:rsidP="00FE122C" w:rsidRDefault="00FE122C" w14:paraId="7E37359D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  <w:r w:rsidRPr="00AD257A">
        <w:rPr>
          <w:rFonts w:ascii="Gadugi" w:hAnsi="Gadugi" w:cs="Arial"/>
          <w:noProof/>
          <w:color w:val="000000"/>
          <w:sz w:val="24"/>
          <w:szCs w:val="24"/>
          <w:lang w:eastAsia="zh-CN"/>
        </w:rPr>
        <w:drawing>
          <wp:inline distT="0" distB="0" distL="0" distR="0" wp14:anchorId="478E7885" wp14:editId="3FB2627B">
            <wp:extent cx="4245727" cy="3019425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0106" cy="302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257A" w:rsidR="003E24ED" w:rsidP="00AA2F6C" w:rsidRDefault="003E24ED" w14:paraId="2710D4E7" w14:textId="77777777">
      <w:pPr>
        <w:autoSpaceDE w:val="0"/>
        <w:autoSpaceDN w:val="0"/>
        <w:adjustRightInd w:val="0"/>
        <w:spacing w:after="0" w:line="240" w:lineRule="auto"/>
        <w:ind w:right="1138"/>
        <w:rPr>
          <w:rFonts w:ascii="Gadugi" w:hAnsi="Gadugi" w:cs="Arial"/>
          <w:color w:val="000000"/>
          <w:sz w:val="24"/>
          <w:szCs w:val="24"/>
        </w:rPr>
      </w:pPr>
    </w:p>
    <w:p w:rsidRPr="00AD257A" w:rsidR="003E24ED" w:rsidP="007A3501" w:rsidRDefault="00FE122C" w14:paraId="4BC467FA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  <w:r w:rsidRPr="00AD257A">
        <w:rPr>
          <w:rFonts w:ascii="Gadugi" w:hAnsi="Gadugi" w:cs="Arial"/>
          <w:color w:val="000000"/>
          <w:sz w:val="24"/>
          <w:szCs w:val="24"/>
        </w:rPr>
        <w:t>The 2009-2012 project asked</w:t>
      </w:r>
      <w:r w:rsidRPr="00AD257A" w:rsidR="003E24ED">
        <w:rPr>
          <w:rFonts w:ascii="Gadugi" w:hAnsi="Gadugi" w:cs="Arial"/>
          <w:color w:val="000000"/>
          <w:sz w:val="24"/>
          <w:szCs w:val="24"/>
        </w:rPr>
        <w:t xml:space="preserve"> schoolchildren, reside</w:t>
      </w:r>
      <w:r w:rsidRPr="00AD257A">
        <w:rPr>
          <w:rFonts w:ascii="Gadugi" w:hAnsi="Gadugi" w:cs="Arial"/>
          <w:color w:val="000000"/>
          <w:sz w:val="24"/>
          <w:szCs w:val="24"/>
        </w:rPr>
        <w:t>nts associations</w:t>
      </w:r>
      <w:r w:rsidRPr="00AD257A" w:rsidR="003E24ED">
        <w:rPr>
          <w:rFonts w:ascii="Gadugi" w:hAnsi="Gadugi" w:cs="Arial"/>
          <w:color w:val="000000"/>
          <w:sz w:val="24"/>
          <w:szCs w:val="24"/>
        </w:rPr>
        <w:t>, students</w:t>
      </w:r>
      <w:r w:rsidRPr="00AD257A">
        <w:rPr>
          <w:rFonts w:ascii="Gadugi" w:hAnsi="Gadugi" w:cs="Arial"/>
          <w:color w:val="000000"/>
          <w:sz w:val="24"/>
          <w:szCs w:val="24"/>
        </w:rPr>
        <w:t>, artists</w:t>
      </w:r>
      <w:r w:rsidRPr="00AD257A" w:rsidR="003E24ED">
        <w:rPr>
          <w:rFonts w:ascii="Gadugi" w:hAnsi="Gadugi" w:cs="Arial"/>
          <w:color w:val="000000"/>
          <w:sz w:val="24"/>
          <w:szCs w:val="24"/>
        </w:rPr>
        <w:t xml:space="preserve"> and</w:t>
      </w:r>
      <w:r w:rsidRPr="00AD257A">
        <w:rPr>
          <w:rFonts w:ascii="Gadugi" w:hAnsi="Gadugi" w:cs="Arial"/>
          <w:color w:val="000000"/>
          <w:sz w:val="24"/>
          <w:szCs w:val="24"/>
        </w:rPr>
        <w:t xml:space="preserve"> community groups what </w:t>
      </w:r>
      <w:proofErr w:type="spellStart"/>
      <w:r w:rsidRPr="00AD257A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>
        <w:rPr>
          <w:rFonts w:ascii="Gadugi" w:hAnsi="Gadugi" w:cs="Arial"/>
          <w:color w:val="000000"/>
          <w:sz w:val="24"/>
          <w:szCs w:val="24"/>
        </w:rPr>
        <w:t xml:space="preserve"> meant to them.  Was it something physical</w:t>
      </w:r>
      <w:r w:rsidRPr="00AD257A" w:rsidR="002B1125">
        <w:rPr>
          <w:rFonts w:ascii="Gadugi" w:hAnsi="Gadugi" w:cs="Arial"/>
          <w:color w:val="000000"/>
          <w:sz w:val="24"/>
          <w:szCs w:val="24"/>
        </w:rPr>
        <w:t xml:space="preserve"> - </w:t>
      </w:r>
      <w:r w:rsidRPr="00AD257A">
        <w:rPr>
          <w:rFonts w:ascii="Gadugi" w:hAnsi="Gadugi" w:cs="Arial"/>
          <w:color w:val="000000"/>
          <w:sz w:val="24"/>
          <w:szCs w:val="24"/>
        </w:rPr>
        <w:t xml:space="preserve">embedded in the streets, buildings and districts of Hull?  Was it about people, community, </w:t>
      </w:r>
      <w:r w:rsidRPr="00AD257A" w:rsidR="00B2354F">
        <w:rPr>
          <w:rFonts w:ascii="Gadugi" w:hAnsi="Gadugi" w:cs="Arial"/>
          <w:color w:val="000000"/>
          <w:sz w:val="24"/>
          <w:szCs w:val="24"/>
        </w:rPr>
        <w:t>or a local spirit and</w:t>
      </w:r>
      <w:r w:rsidRPr="00AD257A">
        <w:rPr>
          <w:rFonts w:ascii="Gadugi" w:hAnsi="Gadugi" w:cs="Arial"/>
          <w:color w:val="000000"/>
          <w:sz w:val="24"/>
          <w:szCs w:val="24"/>
        </w:rPr>
        <w:t xml:space="preserve"> attitude to life?  The exhibition that resulted sought to explore the various ways of thinking about </w:t>
      </w:r>
      <w:proofErr w:type="spellStart"/>
      <w:r w:rsidRPr="00AD257A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>
        <w:rPr>
          <w:rFonts w:ascii="Gadugi" w:hAnsi="Gadugi" w:cs="Arial"/>
          <w:color w:val="000000"/>
          <w:sz w:val="24"/>
          <w:szCs w:val="24"/>
        </w:rPr>
        <w:t xml:space="preserve">, and we will revisit this 2012 versions of </w:t>
      </w:r>
      <w:proofErr w:type="spellStart"/>
      <w:r w:rsidRPr="00AD257A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>
        <w:rPr>
          <w:rFonts w:ascii="Gadugi" w:hAnsi="Gadugi" w:cs="Arial"/>
          <w:color w:val="000000"/>
          <w:sz w:val="24"/>
          <w:szCs w:val="24"/>
        </w:rPr>
        <w:t xml:space="preserve"> and its lukewarm reception from some parts of the media. </w:t>
      </w:r>
    </w:p>
    <w:p w:rsidRPr="00AD257A" w:rsidR="00FE122C" w:rsidP="007A3501" w:rsidRDefault="00FE122C" w14:paraId="48D5B54A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</w:p>
    <w:p w:rsidRPr="00AD257A" w:rsidR="00C662A3" w:rsidP="003E62F4" w:rsidRDefault="00FE122C" w14:paraId="4998BF0F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  <w:r w:rsidRPr="00AD257A">
        <w:rPr>
          <w:rFonts w:ascii="Gadugi" w:hAnsi="Gadugi" w:cs="Arial"/>
          <w:color w:val="000000"/>
          <w:sz w:val="24"/>
          <w:szCs w:val="24"/>
        </w:rPr>
        <w:lastRenderedPageBreak/>
        <w:t xml:space="preserve">The idea of </w:t>
      </w:r>
      <w:proofErr w:type="spellStart"/>
      <w:r w:rsidRPr="00AD257A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>
        <w:rPr>
          <w:rFonts w:ascii="Gadugi" w:hAnsi="Gadugi" w:cs="Arial"/>
          <w:color w:val="000000"/>
          <w:sz w:val="24"/>
          <w:szCs w:val="24"/>
        </w:rPr>
        <w:t xml:space="preserve"> subsequently found its way into the Hull City Bid 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>and</w:t>
      </w:r>
      <w:r w:rsidRPr="00AD257A" w:rsidR="002B1125">
        <w:rPr>
          <w:rFonts w:ascii="Gadugi" w:hAnsi="Gadugi" w:cs="Arial"/>
          <w:color w:val="000000"/>
          <w:sz w:val="24"/>
          <w:szCs w:val="24"/>
        </w:rPr>
        <w:t xml:space="preserve"> the City of Culture competition judges spoke of how its clear articulation of </w:t>
      </w:r>
      <w:proofErr w:type="spellStart"/>
      <w:r w:rsidRPr="00AD257A" w:rsidR="002B1125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 w:rsidR="00C662A3">
        <w:rPr>
          <w:rFonts w:ascii="Gadugi" w:hAnsi="Gadugi" w:cs="Arial"/>
          <w:color w:val="000000"/>
          <w:sz w:val="24"/>
          <w:szCs w:val="24"/>
        </w:rPr>
        <w:t xml:space="preserve"> </w:t>
      </w:r>
      <w:r w:rsidRPr="00AD257A" w:rsidR="002B1125">
        <w:rPr>
          <w:rFonts w:ascii="Gadugi" w:hAnsi="Gadugi" w:cs="Arial"/>
          <w:color w:val="000000"/>
          <w:sz w:val="24"/>
          <w:szCs w:val="24"/>
        </w:rPr>
        <w:t>was central t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 xml:space="preserve">o </w:t>
      </w:r>
      <w:r w:rsidRPr="00AD257A">
        <w:rPr>
          <w:rFonts w:ascii="Gadugi" w:hAnsi="Gadugi" w:cs="Arial"/>
          <w:color w:val="000000"/>
          <w:sz w:val="24"/>
          <w:szCs w:val="24"/>
        </w:rPr>
        <w:t>Hull’s success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 xml:space="preserve">.  In turn, the spirit of Hull </w:t>
      </w:r>
      <w:r w:rsidRPr="00AD257A">
        <w:rPr>
          <w:rFonts w:ascii="Gadugi" w:hAnsi="Gadugi" w:cs="Arial"/>
          <w:color w:val="000000"/>
          <w:sz w:val="24"/>
          <w:szCs w:val="24"/>
        </w:rPr>
        <w:t xml:space="preserve">has been a 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>core</w:t>
      </w:r>
      <w:r w:rsidRPr="00AD257A">
        <w:rPr>
          <w:rFonts w:ascii="Gadugi" w:hAnsi="Gadugi" w:cs="Arial"/>
          <w:color w:val="000000"/>
          <w:sz w:val="24"/>
          <w:szCs w:val="24"/>
        </w:rPr>
        <w:t xml:space="preserve"> elem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>ent of the 2017 programme.</w:t>
      </w:r>
      <w:r w:rsidRPr="00AD257A">
        <w:rPr>
          <w:rFonts w:ascii="Gadugi" w:hAnsi="Gadugi" w:cs="Arial"/>
          <w:color w:val="000000"/>
          <w:sz w:val="24"/>
          <w:szCs w:val="24"/>
        </w:rPr>
        <w:t xml:space="preserve">  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>As 2018 draws near</w:t>
      </w:r>
      <w:r w:rsidRPr="00AD257A" w:rsidR="00B2354F">
        <w:rPr>
          <w:rFonts w:ascii="Gadugi" w:hAnsi="Gadugi" w:cs="Arial"/>
          <w:color w:val="000000"/>
          <w:sz w:val="24"/>
          <w:szCs w:val="24"/>
        </w:rPr>
        <w:t xml:space="preserve">, Hull’s perception by 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 xml:space="preserve">broader publics beyond the city </w:t>
      </w:r>
      <w:r w:rsidR="003E62F4">
        <w:rPr>
          <w:rFonts w:ascii="Gadugi" w:hAnsi="Gadugi" w:cs="Arial"/>
          <w:color w:val="000000"/>
          <w:sz w:val="24"/>
          <w:szCs w:val="24"/>
        </w:rPr>
        <w:t xml:space="preserve">has shifted and celebrating the city’s identity is now fashionable.  But how did this change develop, and </w:t>
      </w:r>
      <w:r w:rsidRPr="00AD257A" w:rsidR="00B2354F">
        <w:rPr>
          <w:rFonts w:ascii="Gadugi" w:hAnsi="Gadugi" w:cs="Arial"/>
          <w:color w:val="000000"/>
          <w:sz w:val="24"/>
          <w:szCs w:val="24"/>
        </w:rPr>
        <w:t>ha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 xml:space="preserve">s </w:t>
      </w:r>
      <w:proofErr w:type="spellStart"/>
      <w:r w:rsidRPr="00AD257A" w:rsidR="00C662A3">
        <w:rPr>
          <w:rFonts w:ascii="Gadugi" w:hAnsi="Gadugi" w:cs="Arial"/>
          <w:i/>
          <w:iCs/>
          <w:color w:val="000000"/>
          <w:sz w:val="24"/>
          <w:szCs w:val="24"/>
        </w:rPr>
        <w:t>Hullness</w:t>
      </w:r>
      <w:proofErr w:type="spellEnd"/>
      <w:r w:rsidRPr="00AD257A" w:rsidR="00B2354F">
        <w:rPr>
          <w:rFonts w:ascii="Gadugi" w:hAnsi="Gadugi" w:cs="Arial"/>
          <w:color w:val="000000"/>
          <w:sz w:val="24"/>
          <w:szCs w:val="24"/>
        </w:rPr>
        <w:t xml:space="preserve"> changed for those who live in the city? </w:t>
      </w:r>
      <w:r w:rsidRPr="00AD257A" w:rsidR="00C662A3">
        <w:rPr>
          <w:rFonts w:ascii="Gadugi" w:hAnsi="Gadugi" w:cs="Arial"/>
          <w:color w:val="000000"/>
          <w:sz w:val="24"/>
          <w:szCs w:val="24"/>
        </w:rPr>
        <w:t xml:space="preserve"> </w:t>
      </w:r>
    </w:p>
    <w:p w:rsidRPr="00AD257A" w:rsidR="00C662A3" w:rsidP="00C662A3" w:rsidRDefault="00C662A3" w14:paraId="03E680DD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</w:p>
    <w:p w:rsidRPr="00AD257A" w:rsidR="00FE122C" w:rsidP="00AA2F6C" w:rsidRDefault="00B2354F" w14:paraId="3CEA4CAB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Gadugi" w:hAnsi="Gadugi" w:cs="Arial"/>
          <w:color w:val="000000"/>
          <w:sz w:val="24"/>
          <w:szCs w:val="24"/>
        </w:rPr>
      </w:pP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In this session we revisit the idea of </w:t>
      </w:r>
      <w:proofErr w:type="spellStart"/>
      <w:r w:rsidRPr="7274EEA8" w:rsidR="7274EEA8">
        <w:rPr>
          <w:rFonts w:ascii="Gadugi" w:hAnsi="Gadugi" w:cs="Arial"/>
          <w:i w:val="1"/>
          <w:iCs w:val="1"/>
          <w:color w:val="000000" w:themeColor="text1" w:themeTint="FF" w:themeShade="FF"/>
          <w:sz w:val="24"/>
          <w:szCs w:val="24"/>
        </w:rPr>
        <w:t>Hullness</w:t>
      </w:r>
      <w:proofErr w:type="spellEnd"/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to explore how far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, and in what ways, 2017 has changed how local people think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about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their city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.  We consider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potential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futures for a sense of place, and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articulate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how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distinctive identities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might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be celebrated and s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ustained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amid a wider, globalising world.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We draw on voices from within and beyond the city to 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explore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what </w:t>
      </w:r>
      <w:proofErr w:type="spellStart"/>
      <w:r w:rsidRPr="7274EEA8" w:rsidR="7274EEA8">
        <w:rPr>
          <w:rFonts w:ascii="Gadugi" w:hAnsi="Gadugi" w:cs="Arial"/>
          <w:i w:val="1"/>
          <w:iCs w:val="1"/>
          <w:color w:val="000000" w:themeColor="text1" w:themeTint="FF" w:themeShade="FF"/>
          <w:sz w:val="24"/>
          <w:szCs w:val="24"/>
        </w:rPr>
        <w:t>Hullness</w:t>
      </w:r>
      <w:proofErr w:type="spellEnd"/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 xml:space="preserve"> was, what it is, and what it might be in possible futures where a sense of place and place-identity are increasingly valued and celebrated in a globalising world</w:t>
      </w:r>
      <w:r w:rsidRPr="7274EEA8" w:rsidR="7274EEA8">
        <w:rPr>
          <w:rFonts w:ascii="Gadugi" w:hAnsi="Gadugi" w:cs="Arial"/>
          <w:color w:val="000000" w:themeColor="text1" w:themeTint="FF" w:themeShade="FF"/>
          <w:sz w:val="24"/>
          <w:szCs w:val="24"/>
        </w:rPr>
        <w:t>.</w:t>
      </w:r>
    </w:p>
    <w:p w:rsidR="7274EEA8" w:rsidP="7274EEA8" w:rsidRDefault="7274EEA8" w14:paraId="2966DDC5" w14:textId="3EB4C9A1">
      <w:pPr>
        <w:pStyle w:val="Normal"/>
        <w:spacing w:after="0" w:line="240" w:lineRule="auto"/>
        <w:ind w:left="1134" w:right="1138"/>
        <w:rPr>
          <w:rFonts w:ascii="Gadugi" w:hAnsi="Gadugi" w:cs="Arial"/>
          <w:color w:val="000000" w:themeColor="text1" w:themeTint="FF" w:themeShade="FF"/>
          <w:sz w:val="24"/>
          <w:szCs w:val="24"/>
        </w:rPr>
      </w:pPr>
    </w:p>
    <w:p w:rsidR="7274EEA8" w:rsidP="7274EEA8" w:rsidRDefault="7274EEA8" w14:paraId="60C670B6" w14:textId="5347B86E">
      <w:pPr>
        <w:pStyle w:val="Normal"/>
        <w:spacing w:after="0" w:line="240" w:lineRule="auto"/>
        <w:ind w:left="1134" w:right="1138"/>
        <w:rPr>
          <w:rFonts w:ascii="Gadugi" w:hAnsi="Gadugi" w:cs="Arial"/>
          <w:color w:val="000000" w:themeColor="text1" w:themeTint="FF" w:themeShade="FF"/>
          <w:sz w:val="24"/>
          <w:szCs w:val="24"/>
        </w:rPr>
      </w:pPr>
    </w:p>
    <w:p w:rsidRPr="00AD257A" w:rsidR="00AD257A" w:rsidP="002E1C42" w:rsidRDefault="00AD257A" w14:paraId="038C004F" w14:textId="77777777">
      <w:pPr>
        <w:autoSpaceDE w:val="0"/>
        <w:autoSpaceDN w:val="0"/>
        <w:adjustRightInd w:val="0"/>
        <w:spacing w:after="0" w:line="240" w:lineRule="auto"/>
        <w:ind w:right="1138"/>
        <w:rPr>
          <w:rFonts w:ascii="Gadugi" w:hAnsi="Gadugi" w:cs="Arial"/>
          <w:color w:val="000000"/>
          <w:sz w:val="24"/>
          <w:szCs w:val="24"/>
        </w:rPr>
      </w:pPr>
    </w:p>
    <w:p w:rsidR="00AA2F6C" w:rsidP="00AA2F6C" w:rsidRDefault="00AA2F6C" w14:paraId="4752B890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Book Antiqua" w:hAnsi="Book Antiqua" w:cs="Arial"/>
          <w:color w:val="000000"/>
          <w:sz w:val="24"/>
          <w:szCs w:val="24"/>
        </w:rPr>
      </w:pPr>
    </w:p>
    <w:p w:rsidRPr="00AA2F6C" w:rsidR="00AD257A" w:rsidP="00AD257A" w:rsidRDefault="00AD257A" w14:paraId="4B7F4866" w14:textId="77777777">
      <w:pPr>
        <w:shd w:val="clear" w:color="auto" w:fill="FFFFFF"/>
        <w:spacing w:after="0" w:line="330" w:lineRule="atLeast"/>
        <w:textAlignment w:val="baseline"/>
        <w:rPr>
          <w:rFonts w:ascii="BreeSerifLt" w:hAnsi="BreeSerifLt" w:eastAsia="Times New Roman"/>
          <w:color w:val="191919"/>
          <w:sz w:val="23"/>
          <w:szCs w:val="23"/>
          <w:lang w:eastAsia="zh-CN"/>
        </w:rPr>
      </w:pPr>
    </w:p>
    <w:p w:rsidR="00AA2F6C" w:rsidP="00AA2F6C" w:rsidRDefault="00AA2F6C" w14:paraId="6D0953F5" w14:textId="77777777">
      <w:pPr>
        <w:autoSpaceDE w:val="0"/>
        <w:autoSpaceDN w:val="0"/>
        <w:adjustRightInd w:val="0"/>
        <w:spacing w:after="0" w:line="240" w:lineRule="auto"/>
        <w:ind w:left="1134" w:right="1138"/>
        <w:rPr>
          <w:rFonts w:ascii="Book Antiqua" w:hAnsi="Book Antiqua" w:cs="Arial"/>
          <w:color w:val="000000"/>
          <w:sz w:val="24"/>
          <w:szCs w:val="24"/>
        </w:rPr>
      </w:pPr>
    </w:p>
    <w:p w:rsidRPr="002B1125" w:rsidR="00F526A9" w:rsidP="002B1125" w:rsidRDefault="004C214F" w14:paraId="19E6D538" w14:textId="77777777">
      <w:pPr>
        <w:autoSpaceDE w:val="0"/>
        <w:autoSpaceDN w:val="0"/>
        <w:adjustRightInd w:val="0"/>
        <w:spacing w:after="0" w:line="240" w:lineRule="auto"/>
        <w:ind w:right="1138" w:firstLine="720"/>
        <w:rPr>
          <w:rFonts w:ascii="Book Antiqua" w:hAnsi="Book Antiqua" w:cs="Arial"/>
          <w:b/>
          <w:bCs/>
          <w:color w:val="000000"/>
          <w:sz w:val="24"/>
          <w:szCs w:val="24"/>
        </w:rPr>
      </w:pPr>
      <w:r w:rsidRPr="002B1125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</w:p>
    <w:sectPr w:rsidRPr="002B1125" w:rsidR="00F526A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BreeSerif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1449"/>
    <w:multiLevelType w:val="hybridMultilevel"/>
    <w:tmpl w:val="E55CB898"/>
    <w:lvl w:ilvl="0" w:tplc="08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tin Atkinson">
    <w15:presenceInfo w15:providerId="AD" w15:userId="100300009822FFE8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4F"/>
    <w:rsid w:val="002B1125"/>
    <w:rsid w:val="002E1C42"/>
    <w:rsid w:val="003E24ED"/>
    <w:rsid w:val="003E62F4"/>
    <w:rsid w:val="004955D6"/>
    <w:rsid w:val="004C214F"/>
    <w:rsid w:val="005507A9"/>
    <w:rsid w:val="0076039E"/>
    <w:rsid w:val="007A3501"/>
    <w:rsid w:val="00AA2F6C"/>
    <w:rsid w:val="00AD257A"/>
    <w:rsid w:val="00B2354F"/>
    <w:rsid w:val="00C22A31"/>
    <w:rsid w:val="00C662A3"/>
    <w:rsid w:val="00CC0C94"/>
    <w:rsid w:val="00EA2C24"/>
    <w:rsid w:val="00F526A9"/>
    <w:rsid w:val="00FE122C"/>
    <w:rsid w:val="7274E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12AA"/>
  <w15:chartTrackingRefBased/>
  <w15:docId w15:val="{A3C0C5DC-3177-42B9-A137-C8A0EA84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C214F"/>
    <w:pPr>
      <w:spacing w:after="200" w:line="276" w:lineRule="auto"/>
    </w:pPr>
    <w:rPr>
      <w:rFonts w:ascii="Calibri" w:hAnsi="Calibri" w:eastAsia="Calibri" w:cs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A2F6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A2F6C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A2F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2F6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AA2F6C"/>
    <w:rPr>
      <w:b/>
      <w:bCs/>
    </w:rPr>
  </w:style>
  <w:style w:type="paragraph" w:styleId="ListParagraph">
    <w:name w:val="List Paragraph"/>
    <w:basedOn w:val="Normal"/>
    <w:uiPriority w:val="34"/>
    <w:qFormat/>
    <w:rsid w:val="00AD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ull2017.co.uk/whatson/events/substance/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media/image1.emf" Id="rId9" /><Relationship Type="http://schemas.openxmlformats.org/officeDocument/2006/relationships/theme" Target="theme/theme1.xml" Id="rId14" /><Relationship Type="http://schemas.microsoft.com/office/2011/relationships/people" Target="/word/people.xml" Id="R6f0185c2afbc4f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AF1BB7-2AEA-4AED-9098-BB292006A1F1}"/>
</file>

<file path=customXml/itemProps2.xml><?xml version="1.0" encoding="utf-8"?>
<ds:datastoreItem xmlns:ds="http://schemas.openxmlformats.org/officeDocument/2006/customXml" ds:itemID="{E73F4F48-2ED6-4A4E-9595-AFE46E0DF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2E37F-81B4-4189-9FBE-FBFF47218AF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58b15ed-c521-4290-b073-2e98d4cc1d7f"/>
    <ds:schemaRef ds:uri="80129174-c05c-43cc-8e32-21fcbdfe51b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Hull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Atkinson</dc:creator>
  <cp:keywords/>
  <dc:description/>
  <cp:lastModifiedBy>Martin Atkinson</cp:lastModifiedBy>
  <cp:revision>3</cp:revision>
  <dcterms:created xsi:type="dcterms:W3CDTF">2017-11-28T14:29:00Z</dcterms:created>
  <dcterms:modified xsi:type="dcterms:W3CDTF">2017-12-05T15:55:06Z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