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18B" w:rsidRDefault="005F518B" w:rsidP="00697B9B">
      <w:pPr>
        <w:ind w:right="-472"/>
        <w:jc w:val="right"/>
      </w:pPr>
      <w:r>
        <w:rPr>
          <w:noProof/>
          <w:lang w:eastAsia="en-GB"/>
        </w:rPr>
        <w:drawing>
          <wp:inline distT="0" distB="0" distL="0" distR="0">
            <wp:extent cx="1349671" cy="12192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TT mono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7555" cy="1226402"/>
                    </a:xfrm>
                    <a:prstGeom prst="rect">
                      <a:avLst/>
                    </a:prstGeom>
                  </pic:spPr>
                </pic:pic>
              </a:graphicData>
            </a:graphic>
          </wp:inline>
        </w:drawing>
      </w:r>
    </w:p>
    <w:p w:rsidR="004163B6" w:rsidRDefault="004163B6" w:rsidP="005F518B">
      <w:pPr>
        <w:jc w:val="center"/>
        <w:rPr>
          <w:b/>
          <w:sz w:val="36"/>
          <w:szCs w:val="36"/>
        </w:rPr>
      </w:pPr>
    </w:p>
    <w:p w:rsidR="005F518B" w:rsidRPr="00697B9B" w:rsidRDefault="00697B9B" w:rsidP="005F518B">
      <w:pPr>
        <w:jc w:val="center"/>
        <w:rPr>
          <w:b/>
          <w:sz w:val="36"/>
          <w:szCs w:val="36"/>
        </w:rPr>
      </w:pPr>
      <w:r w:rsidRPr="00697B9B">
        <w:rPr>
          <w:b/>
          <w:sz w:val="36"/>
          <w:szCs w:val="36"/>
        </w:rPr>
        <w:t>Hull Truck Theatre</w:t>
      </w:r>
    </w:p>
    <w:p w:rsidR="00697B9B" w:rsidRPr="00697B9B" w:rsidRDefault="00697B9B" w:rsidP="005F518B">
      <w:pPr>
        <w:jc w:val="center"/>
        <w:rPr>
          <w:b/>
          <w:sz w:val="36"/>
          <w:szCs w:val="36"/>
        </w:rPr>
      </w:pPr>
      <w:r w:rsidRPr="00697B9B">
        <w:rPr>
          <w:b/>
          <w:sz w:val="36"/>
          <w:szCs w:val="36"/>
        </w:rPr>
        <w:t>Audience Development Strategy Update 2017-18</w:t>
      </w:r>
    </w:p>
    <w:p w:rsidR="00697B9B" w:rsidRDefault="00697B9B" w:rsidP="005F518B">
      <w:pPr>
        <w:jc w:val="center"/>
      </w:pPr>
    </w:p>
    <w:p w:rsidR="004163B6" w:rsidRDefault="004163B6" w:rsidP="005F518B">
      <w:pPr>
        <w:jc w:val="center"/>
      </w:pPr>
    </w:p>
    <w:p w:rsidR="00697B9B" w:rsidRPr="005B15DD" w:rsidRDefault="007857EB" w:rsidP="007857EB">
      <w:pPr>
        <w:rPr>
          <w:b/>
          <w:sz w:val="28"/>
          <w:szCs w:val="28"/>
        </w:rPr>
      </w:pPr>
      <w:r w:rsidRPr="005B15DD">
        <w:rPr>
          <w:b/>
          <w:sz w:val="28"/>
          <w:szCs w:val="28"/>
        </w:rPr>
        <w:t>Introduction</w:t>
      </w:r>
    </w:p>
    <w:p w:rsidR="008A70A2" w:rsidRDefault="001320EE" w:rsidP="007857EB">
      <w:r>
        <w:tab/>
      </w:r>
      <w:r w:rsidR="007D020D">
        <w:t>Since 2015 the theatre has</w:t>
      </w:r>
      <w:r>
        <w:t xml:space="preserve"> worked to build audiences and income using a strategy that can broadly be broken into three strands – re-engagement of lapsed audiences, retention of current audiences and development of new audiences. </w:t>
      </w:r>
      <w:r w:rsidR="00E356A6">
        <w:t xml:space="preserve">Audiences have increased from 48,375 in 2014/15 to 75,482 in 2016/17. </w:t>
      </w:r>
    </w:p>
    <w:p w:rsidR="00E356A6" w:rsidRDefault="00E356A6" w:rsidP="007857EB">
      <w:r>
        <w:t>Having had a low return on investment from campaigns specifically targeted at lapsed attenders (such as ‘we miss you’ mailings and special ‘welc</w:t>
      </w:r>
      <w:r w:rsidR="007D020D">
        <w:t>ome back’ offers), since 2016</w:t>
      </w:r>
      <w:r w:rsidR="005B1DBA">
        <w:t xml:space="preserve"> target groups</w:t>
      </w:r>
      <w:r w:rsidR="007D020D">
        <w:t xml:space="preserve"> have been split</w:t>
      </w:r>
      <w:r w:rsidR="005B1DBA">
        <w:t xml:space="preserve"> into current audiences (attended within the last three years) and new audiences (never attended or attended over three years ago). </w:t>
      </w:r>
      <w:r>
        <w:t xml:space="preserve"> </w:t>
      </w:r>
    </w:p>
    <w:p w:rsidR="005B1DBA" w:rsidRDefault="005B1DBA" w:rsidP="007857EB">
      <w:r>
        <w:t xml:space="preserve">2017-18 will see the further development of strategies </w:t>
      </w:r>
      <w:r w:rsidR="00B53F0C">
        <w:t xml:space="preserve">which have proved effective at increasing audiences, including: </w:t>
      </w:r>
      <w:r w:rsidR="00C65B99">
        <w:t>building relationships by rewarding frequency of attendance and early booking, working with partner organisations to reach new audiences, accessible pricing, building trust in the Hull Truck Theatre brand, raising profile and increasing positive perception of the theatre.</w:t>
      </w:r>
    </w:p>
    <w:p w:rsidR="00C65B99" w:rsidRDefault="007D020D" w:rsidP="007857EB">
      <w:r>
        <w:t>The</w:t>
      </w:r>
      <w:r w:rsidR="0081605B">
        <w:t xml:space="preserve"> first sell-out production of Hull’s year as UK City of Culture 2017, </w:t>
      </w:r>
      <w:r w:rsidR="0081605B" w:rsidRPr="0081605B">
        <w:rPr>
          <w:i/>
        </w:rPr>
        <w:t>The Hypocrite</w:t>
      </w:r>
      <w:r>
        <w:t>, was</w:t>
      </w:r>
      <w:r w:rsidR="0081605B">
        <w:t xml:space="preserve"> the theatre’s fastest selling production and was covered e</w:t>
      </w:r>
      <w:r>
        <w:t>xtensively by national press. The theatre</w:t>
      </w:r>
      <w:r w:rsidR="0081605B">
        <w:t xml:space="preserve"> will continue to capitalise on the increased profile, media attention and greater public confidence </w:t>
      </w:r>
      <w:r>
        <w:t>throughout Hull2017 and as part of the theatre’s</w:t>
      </w:r>
      <w:r w:rsidR="00B2411B">
        <w:t xml:space="preserve"> Year of Exceptional Drama.</w:t>
      </w:r>
    </w:p>
    <w:p w:rsidR="0081605B" w:rsidRDefault="007D020D" w:rsidP="007857EB">
      <w:r>
        <w:t>The theatre</w:t>
      </w:r>
      <w:r w:rsidR="0081605B">
        <w:t xml:space="preserve"> gather</w:t>
      </w:r>
      <w:r>
        <w:t>s</w:t>
      </w:r>
      <w:r w:rsidR="0081605B">
        <w:t>, submit</w:t>
      </w:r>
      <w:r>
        <w:t>s</w:t>
      </w:r>
      <w:r w:rsidR="0081605B">
        <w:t xml:space="preserve"> and interpret</w:t>
      </w:r>
      <w:r>
        <w:t>s</w:t>
      </w:r>
      <w:r w:rsidR="0081605B">
        <w:t xml:space="preserve"> audience data in a variety of ways, using it to inform campaigns and decision making. </w:t>
      </w:r>
      <w:r w:rsidR="00DD3B65">
        <w:t xml:space="preserve">Box office data is submitted to The Audience Agency and </w:t>
      </w:r>
      <w:proofErr w:type="spellStart"/>
      <w:r>
        <w:t>ShowStats</w:t>
      </w:r>
      <w:proofErr w:type="spellEnd"/>
      <w:r>
        <w:t>, and Hull Truck Theatre is</w:t>
      </w:r>
      <w:r w:rsidR="00DD3B65">
        <w:t xml:space="preserve"> part of a benchmarking project conducted by &amp;Co. Marketing between five producing theatres in Yorkshire. As part of Hull2017, cultural venues across the city are joined up via </w:t>
      </w:r>
      <w:proofErr w:type="spellStart"/>
      <w:r w:rsidR="00DD3B65">
        <w:t>Spektrix</w:t>
      </w:r>
      <w:proofErr w:type="spellEnd"/>
      <w:r w:rsidR="00DD3B65">
        <w:t xml:space="preserve">, which will give greater insight into local and visiting audience behaviour. </w:t>
      </w:r>
      <w:r>
        <w:t>A</w:t>
      </w:r>
      <w:r w:rsidR="00DD3B65">
        <w:t>udience experience</w:t>
      </w:r>
      <w:r>
        <w:t xml:space="preserve"> is monitored and f</w:t>
      </w:r>
      <w:r w:rsidR="00DD3B65">
        <w:t>ed into national data analysis via Purple Seven’s Did You Enjoy That? survey.</w:t>
      </w:r>
    </w:p>
    <w:p w:rsidR="00EC3137" w:rsidRDefault="00EC3137" w:rsidP="007857EB">
      <w:r>
        <w:t>Areas of focus for 2017/18 will be:</w:t>
      </w:r>
    </w:p>
    <w:p w:rsidR="00EC3137" w:rsidRDefault="00EC3137" w:rsidP="00EC3137">
      <w:pPr>
        <w:pStyle w:val="ListParagraph"/>
        <w:numPr>
          <w:ilvl w:val="0"/>
          <w:numId w:val="3"/>
        </w:numPr>
      </w:pPr>
      <w:r>
        <w:t>Current audiences – retention and repeat visits</w:t>
      </w:r>
    </w:p>
    <w:p w:rsidR="00EC3137" w:rsidRDefault="00EC3137" w:rsidP="00EC3137">
      <w:pPr>
        <w:pStyle w:val="ListParagraph"/>
        <w:numPr>
          <w:ilvl w:val="0"/>
          <w:numId w:val="3"/>
        </w:numPr>
      </w:pPr>
      <w:r>
        <w:t xml:space="preserve">New audiences – culturally engaged audiences from beyond a </w:t>
      </w:r>
      <w:proofErr w:type="gramStart"/>
      <w:r>
        <w:t>30 minute</w:t>
      </w:r>
      <w:proofErr w:type="gramEnd"/>
      <w:r>
        <w:t xml:space="preserve"> drive time</w:t>
      </w:r>
    </w:p>
    <w:p w:rsidR="00083F00" w:rsidRDefault="00EC3137" w:rsidP="007857EB">
      <w:pPr>
        <w:pStyle w:val="ListParagraph"/>
        <w:numPr>
          <w:ilvl w:val="0"/>
          <w:numId w:val="3"/>
        </w:numPr>
      </w:pPr>
      <w:r>
        <w:t>New audiences – local audiences from areas of low arts engagement</w:t>
      </w:r>
    </w:p>
    <w:p w:rsidR="004163B6" w:rsidRDefault="004163B6">
      <w:pPr>
        <w:rPr>
          <w:b/>
        </w:rPr>
      </w:pPr>
      <w:bookmarkStart w:id="0" w:name="_Hlk478377514"/>
      <w:r>
        <w:rPr>
          <w:b/>
        </w:rPr>
        <w:br w:type="page"/>
      </w:r>
    </w:p>
    <w:p w:rsidR="00895941" w:rsidRDefault="00895941" w:rsidP="007857EB">
      <w:pPr>
        <w:rPr>
          <w:b/>
          <w:sz w:val="28"/>
          <w:szCs w:val="28"/>
        </w:rPr>
      </w:pPr>
    </w:p>
    <w:p w:rsidR="007857EB" w:rsidRPr="005B15DD" w:rsidRDefault="007857EB" w:rsidP="007857EB">
      <w:pPr>
        <w:rPr>
          <w:b/>
          <w:sz w:val="28"/>
          <w:szCs w:val="28"/>
        </w:rPr>
      </w:pPr>
      <w:r w:rsidRPr="005B15DD">
        <w:rPr>
          <w:b/>
          <w:sz w:val="28"/>
          <w:szCs w:val="28"/>
        </w:rPr>
        <w:t>Targets</w:t>
      </w:r>
    </w:p>
    <w:p w:rsidR="007857EB" w:rsidRDefault="00C56B09" w:rsidP="007857EB">
      <w:r>
        <w:t>Audience and finance targets and actuals fo</w:t>
      </w:r>
      <w:r w:rsidR="002A5D57">
        <w:t>r</w:t>
      </w:r>
      <w:r w:rsidRPr="00E356A6">
        <w:rPr>
          <w:b/>
        </w:rPr>
        <w:t xml:space="preserve"> produced work</w:t>
      </w:r>
      <w:r>
        <w:t xml:space="preserve"> (from Business Plan 2015-2018).</w:t>
      </w:r>
    </w:p>
    <w:tbl>
      <w:tblPr>
        <w:tblStyle w:val="TableGrid"/>
        <w:tblW w:w="0" w:type="auto"/>
        <w:tblLook w:val="04A0" w:firstRow="1" w:lastRow="0" w:firstColumn="1" w:lastColumn="0" w:noHBand="0" w:noVBand="1"/>
      </w:tblPr>
      <w:tblGrid>
        <w:gridCol w:w="3964"/>
        <w:gridCol w:w="1276"/>
        <w:gridCol w:w="1276"/>
        <w:gridCol w:w="1276"/>
        <w:gridCol w:w="1224"/>
      </w:tblGrid>
      <w:tr w:rsidR="00C56B09" w:rsidTr="001320EE">
        <w:tc>
          <w:tcPr>
            <w:tcW w:w="3964" w:type="dxa"/>
          </w:tcPr>
          <w:p w:rsidR="00C56B09" w:rsidRDefault="00C56B09" w:rsidP="007857EB"/>
        </w:tc>
        <w:tc>
          <w:tcPr>
            <w:tcW w:w="1276" w:type="dxa"/>
          </w:tcPr>
          <w:p w:rsidR="00C56B09" w:rsidRDefault="00C56B09" w:rsidP="00C56B09">
            <w:pPr>
              <w:jc w:val="center"/>
            </w:pPr>
            <w:r>
              <w:t>Aud. Target</w:t>
            </w:r>
          </w:p>
        </w:tc>
        <w:tc>
          <w:tcPr>
            <w:tcW w:w="1276" w:type="dxa"/>
          </w:tcPr>
          <w:p w:rsidR="00C56B09" w:rsidRDefault="00C56B09" w:rsidP="00025F30">
            <w:pPr>
              <w:jc w:val="center"/>
            </w:pPr>
            <w:r>
              <w:t>Aud. Actual</w:t>
            </w:r>
          </w:p>
        </w:tc>
        <w:tc>
          <w:tcPr>
            <w:tcW w:w="1276" w:type="dxa"/>
          </w:tcPr>
          <w:p w:rsidR="00C56B09" w:rsidRDefault="00C56B09" w:rsidP="00C56B09">
            <w:pPr>
              <w:jc w:val="center"/>
            </w:pPr>
            <w:r>
              <w:t>Fin. Target</w:t>
            </w:r>
          </w:p>
        </w:tc>
        <w:tc>
          <w:tcPr>
            <w:tcW w:w="1224" w:type="dxa"/>
          </w:tcPr>
          <w:p w:rsidR="00C56B09" w:rsidRDefault="00C56B09" w:rsidP="00025F30">
            <w:pPr>
              <w:jc w:val="center"/>
            </w:pPr>
            <w:r>
              <w:t>Fin. Actual</w:t>
            </w:r>
          </w:p>
        </w:tc>
      </w:tr>
      <w:tr w:rsidR="001062DB" w:rsidTr="001320EE">
        <w:tc>
          <w:tcPr>
            <w:tcW w:w="3964" w:type="dxa"/>
          </w:tcPr>
          <w:p w:rsidR="001062DB" w:rsidRDefault="001062DB" w:rsidP="001062DB">
            <w:r>
              <w:t>2014-15</w:t>
            </w:r>
          </w:p>
          <w:p w:rsidR="001320EE" w:rsidRDefault="001320EE" w:rsidP="001062DB">
            <w:r>
              <w:t>(</w:t>
            </w:r>
            <w:r w:rsidRPr="001320EE">
              <w:rPr>
                <w:i/>
              </w:rPr>
              <w:t>A Taste of Honey, Cinderella</w:t>
            </w:r>
            <w:r>
              <w:t>)</w:t>
            </w:r>
          </w:p>
        </w:tc>
        <w:tc>
          <w:tcPr>
            <w:tcW w:w="1276" w:type="dxa"/>
          </w:tcPr>
          <w:p w:rsidR="001062DB" w:rsidRDefault="001320EE" w:rsidP="00C56B09">
            <w:pPr>
              <w:jc w:val="center"/>
            </w:pPr>
            <w:r>
              <w:t>49%</w:t>
            </w:r>
          </w:p>
        </w:tc>
        <w:tc>
          <w:tcPr>
            <w:tcW w:w="1276" w:type="dxa"/>
          </w:tcPr>
          <w:p w:rsidR="001062DB" w:rsidRDefault="001320EE" w:rsidP="00025F30">
            <w:pPr>
              <w:jc w:val="center"/>
            </w:pPr>
            <w:r>
              <w:t>49%</w:t>
            </w:r>
          </w:p>
        </w:tc>
        <w:tc>
          <w:tcPr>
            <w:tcW w:w="1276" w:type="dxa"/>
          </w:tcPr>
          <w:p w:rsidR="001062DB" w:rsidRDefault="001320EE" w:rsidP="00C56B09">
            <w:pPr>
              <w:jc w:val="center"/>
            </w:pPr>
            <w:r>
              <w:t>40%</w:t>
            </w:r>
          </w:p>
        </w:tc>
        <w:tc>
          <w:tcPr>
            <w:tcW w:w="1224" w:type="dxa"/>
          </w:tcPr>
          <w:p w:rsidR="001062DB" w:rsidRDefault="001320EE" w:rsidP="00025F30">
            <w:pPr>
              <w:jc w:val="center"/>
            </w:pPr>
            <w:r>
              <w:t>38%</w:t>
            </w:r>
          </w:p>
        </w:tc>
      </w:tr>
      <w:tr w:rsidR="00C56B09" w:rsidTr="001320EE">
        <w:tc>
          <w:tcPr>
            <w:tcW w:w="3964" w:type="dxa"/>
          </w:tcPr>
          <w:p w:rsidR="00C56B09" w:rsidRDefault="00C56B09" w:rsidP="007857EB">
            <w:r>
              <w:t>2015-16</w:t>
            </w:r>
          </w:p>
          <w:p w:rsidR="001320EE" w:rsidRPr="001320EE" w:rsidRDefault="001320EE" w:rsidP="007857EB">
            <w:r>
              <w:t>(</w:t>
            </w:r>
            <w:r>
              <w:rPr>
                <w:i/>
              </w:rPr>
              <w:t xml:space="preserve">The </w:t>
            </w:r>
            <w:proofErr w:type="spellStart"/>
            <w:r>
              <w:rPr>
                <w:i/>
              </w:rPr>
              <w:t>Ladykillers</w:t>
            </w:r>
            <w:proofErr w:type="spellEnd"/>
            <w:r>
              <w:rPr>
                <w:i/>
              </w:rPr>
              <w:t>, Dancing Through the Shadows, Sleeping Beauty, Martha Josie and the Chinese Elvis</w:t>
            </w:r>
            <w:r>
              <w:t>)</w:t>
            </w:r>
          </w:p>
        </w:tc>
        <w:tc>
          <w:tcPr>
            <w:tcW w:w="1276" w:type="dxa"/>
          </w:tcPr>
          <w:p w:rsidR="00C56B09" w:rsidRDefault="00514471" w:rsidP="00C56B09">
            <w:pPr>
              <w:jc w:val="center"/>
            </w:pPr>
            <w:r>
              <w:t>46</w:t>
            </w:r>
            <w:r w:rsidR="00C56B09">
              <w:t>%</w:t>
            </w:r>
          </w:p>
        </w:tc>
        <w:tc>
          <w:tcPr>
            <w:tcW w:w="1276" w:type="dxa"/>
          </w:tcPr>
          <w:p w:rsidR="00C56B09" w:rsidRDefault="00025F30" w:rsidP="00025F30">
            <w:pPr>
              <w:jc w:val="center"/>
            </w:pPr>
            <w:r>
              <w:t>47%</w:t>
            </w:r>
          </w:p>
        </w:tc>
        <w:tc>
          <w:tcPr>
            <w:tcW w:w="1276" w:type="dxa"/>
          </w:tcPr>
          <w:p w:rsidR="00C56B09" w:rsidRDefault="00514471" w:rsidP="00C56B09">
            <w:pPr>
              <w:jc w:val="center"/>
            </w:pPr>
            <w:r>
              <w:t>41</w:t>
            </w:r>
            <w:r w:rsidR="00C56B09">
              <w:t>%</w:t>
            </w:r>
          </w:p>
        </w:tc>
        <w:tc>
          <w:tcPr>
            <w:tcW w:w="1224" w:type="dxa"/>
          </w:tcPr>
          <w:p w:rsidR="00C56B09" w:rsidRDefault="00706627" w:rsidP="00025F30">
            <w:pPr>
              <w:jc w:val="center"/>
            </w:pPr>
            <w:r>
              <w:t>34%</w:t>
            </w:r>
          </w:p>
        </w:tc>
      </w:tr>
      <w:tr w:rsidR="00C56B09" w:rsidTr="001320EE">
        <w:tc>
          <w:tcPr>
            <w:tcW w:w="3964" w:type="dxa"/>
          </w:tcPr>
          <w:p w:rsidR="00C56B09" w:rsidRDefault="00C56B09" w:rsidP="007857EB">
            <w:r>
              <w:t>2016-17</w:t>
            </w:r>
          </w:p>
          <w:p w:rsidR="001320EE" w:rsidRPr="001320EE" w:rsidRDefault="001320EE" w:rsidP="007857EB">
            <w:r>
              <w:t>(</w:t>
            </w:r>
            <w:r>
              <w:rPr>
                <w:i/>
              </w:rPr>
              <w:t>Folk, Educating Rita, The Gaul, Treasure Island, The Hypocrite</w:t>
            </w:r>
            <w:r>
              <w:t xml:space="preserve">) </w:t>
            </w:r>
          </w:p>
        </w:tc>
        <w:tc>
          <w:tcPr>
            <w:tcW w:w="1276" w:type="dxa"/>
          </w:tcPr>
          <w:p w:rsidR="00C56B09" w:rsidRDefault="00514471" w:rsidP="00C56B09">
            <w:pPr>
              <w:jc w:val="center"/>
            </w:pPr>
            <w:r>
              <w:t>51</w:t>
            </w:r>
            <w:r w:rsidR="00C56B09">
              <w:t>%</w:t>
            </w:r>
          </w:p>
        </w:tc>
        <w:tc>
          <w:tcPr>
            <w:tcW w:w="1276" w:type="dxa"/>
          </w:tcPr>
          <w:p w:rsidR="00514471" w:rsidRDefault="00514471" w:rsidP="00514471">
            <w:pPr>
              <w:jc w:val="center"/>
            </w:pPr>
            <w:r>
              <w:t>64%</w:t>
            </w:r>
          </w:p>
        </w:tc>
        <w:tc>
          <w:tcPr>
            <w:tcW w:w="1276" w:type="dxa"/>
          </w:tcPr>
          <w:p w:rsidR="00C56B09" w:rsidRDefault="00514471" w:rsidP="00C56B09">
            <w:pPr>
              <w:jc w:val="center"/>
            </w:pPr>
            <w:r>
              <w:t>46</w:t>
            </w:r>
            <w:r w:rsidR="00C56B09">
              <w:t>%</w:t>
            </w:r>
          </w:p>
        </w:tc>
        <w:tc>
          <w:tcPr>
            <w:tcW w:w="1224" w:type="dxa"/>
          </w:tcPr>
          <w:p w:rsidR="00C56B09" w:rsidRDefault="00514471" w:rsidP="00025F30">
            <w:pPr>
              <w:jc w:val="center"/>
            </w:pPr>
            <w:r>
              <w:t>50</w:t>
            </w:r>
            <w:r w:rsidR="00D67F42">
              <w:t>%</w:t>
            </w:r>
          </w:p>
        </w:tc>
      </w:tr>
      <w:tr w:rsidR="00C56B09" w:rsidTr="001320EE">
        <w:tc>
          <w:tcPr>
            <w:tcW w:w="3964" w:type="dxa"/>
          </w:tcPr>
          <w:p w:rsidR="00C56B09" w:rsidRPr="001320EE" w:rsidRDefault="00C56B09" w:rsidP="007857EB">
            <w:pPr>
              <w:rPr>
                <w:highlight w:val="yellow"/>
              </w:rPr>
            </w:pPr>
            <w:r w:rsidRPr="001320EE">
              <w:rPr>
                <w:highlight w:val="yellow"/>
              </w:rPr>
              <w:t>2017-18 TARGETS</w:t>
            </w:r>
          </w:p>
        </w:tc>
        <w:tc>
          <w:tcPr>
            <w:tcW w:w="1276" w:type="dxa"/>
          </w:tcPr>
          <w:p w:rsidR="00C56B09" w:rsidRPr="001320EE" w:rsidRDefault="00514471" w:rsidP="00C56B09">
            <w:pPr>
              <w:jc w:val="center"/>
              <w:rPr>
                <w:highlight w:val="yellow"/>
              </w:rPr>
            </w:pPr>
            <w:r w:rsidRPr="001320EE">
              <w:rPr>
                <w:highlight w:val="yellow"/>
              </w:rPr>
              <w:t>56</w:t>
            </w:r>
            <w:r w:rsidR="00C56B09" w:rsidRPr="001320EE">
              <w:rPr>
                <w:highlight w:val="yellow"/>
              </w:rPr>
              <w:t>%</w:t>
            </w:r>
          </w:p>
        </w:tc>
        <w:tc>
          <w:tcPr>
            <w:tcW w:w="1276" w:type="dxa"/>
          </w:tcPr>
          <w:p w:rsidR="00C56B09" w:rsidRPr="001320EE" w:rsidRDefault="00C56B09" w:rsidP="00025F30">
            <w:pPr>
              <w:jc w:val="center"/>
              <w:rPr>
                <w:highlight w:val="yellow"/>
              </w:rPr>
            </w:pPr>
          </w:p>
        </w:tc>
        <w:tc>
          <w:tcPr>
            <w:tcW w:w="1276" w:type="dxa"/>
          </w:tcPr>
          <w:p w:rsidR="00C56B09" w:rsidRPr="001320EE" w:rsidRDefault="00514471" w:rsidP="00C56B09">
            <w:pPr>
              <w:jc w:val="center"/>
              <w:rPr>
                <w:highlight w:val="yellow"/>
              </w:rPr>
            </w:pPr>
            <w:r w:rsidRPr="001320EE">
              <w:rPr>
                <w:highlight w:val="yellow"/>
              </w:rPr>
              <w:t>51</w:t>
            </w:r>
            <w:r w:rsidR="00C56B09" w:rsidRPr="001320EE">
              <w:rPr>
                <w:highlight w:val="yellow"/>
              </w:rPr>
              <w:t>%</w:t>
            </w:r>
          </w:p>
        </w:tc>
        <w:tc>
          <w:tcPr>
            <w:tcW w:w="1224" w:type="dxa"/>
          </w:tcPr>
          <w:p w:rsidR="00C56B09" w:rsidRPr="001320EE" w:rsidRDefault="00C56B09" w:rsidP="00025F30">
            <w:pPr>
              <w:jc w:val="center"/>
              <w:rPr>
                <w:highlight w:val="yellow"/>
              </w:rPr>
            </w:pPr>
          </w:p>
        </w:tc>
      </w:tr>
      <w:bookmarkEnd w:id="0"/>
    </w:tbl>
    <w:p w:rsidR="007857EB" w:rsidRDefault="007857EB" w:rsidP="007857EB"/>
    <w:p w:rsidR="007857EB" w:rsidRPr="005B15DD" w:rsidRDefault="007857EB" w:rsidP="007857EB">
      <w:pPr>
        <w:rPr>
          <w:b/>
          <w:sz w:val="28"/>
          <w:szCs w:val="28"/>
        </w:rPr>
      </w:pPr>
      <w:r w:rsidRPr="005B15DD">
        <w:rPr>
          <w:b/>
          <w:sz w:val="28"/>
          <w:szCs w:val="28"/>
        </w:rPr>
        <w:t>Areas of focus</w:t>
      </w:r>
    </w:p>
    <w:p w:rsidR="007857EB" w:rsidRPr="00AB255E" w:rsidRDefault="007857EB" w:rsidP="007857EB">
      <w:pPr>
        <w:rPr>
          <w:i/>
          <w:u w:val="single"/>
        </w:rPr>
      </w:pPr>
      <w:r w:rsidRPr="00AB255E">
        <w:rPr>
          <w:i/>
          <w:u w:val="single"/>
        </w:rPr>
        <w:t>Retention and repeat visits</w:t>
      </w:r>
    </w:p>
    <w:p w:rsidR="00810DC1" w:rsidRPr="00810DC1" w:rsidRDefault="00810DC1" w:rsidP="007857EB">
      <w:pPr>
        <w:rPr>
          <w:b/>
        </w:rPr>
      </w:pPr>
      <w:r w:rsidRPr="00810DC1">
        <w:rPr>
          <w:b/>
        </w:rPr>
        <w:t>Target audiences:</w:t>
      </w:r>
    </w:p>
    <w:p w:rsidR="006C6174" w:rsidRDefault="006C6174" w:rsidP="007857EB">
      <w:r>
        <w:t>The theatre’s top three Audience Spectrum segments are</w:t>
      </w:r>
      <w:r w:rsidR="00EC3137">
        <w:t>*</w:t>
      </w:r>
      <w:r>
        <w:t>:</w:t>
      </w:r>
    </w:p>
    <w:p w:rsidR="006C6174" w:rsidRPr="00810DC1" w:rsidRDefault="006C6174" w:rsidP="00810DC1">
      <w:pPr>
        <w:pStyle w:val="ListParagraph"/>
        <w:numPr>
          <w:ilvl w:val="0"/>
          <w:numId w:val="1"/>
        </w:numPr>
      </w:pPr>
      <w:r w:rsidRPr="00810DC1">
        <w:t xml:space="preserve">Dormitory </w:t>
      </w:r>
      <w:proofErr w:type="spellStart"/>
      <w:r w:rsidRPr="00810DC1">
        <w:t>Dependables</w:t>
      </w:r>
      <w:proofErr w:type="spellEnd"/>
      <w:r w:rsidRPr="00810DC1">
        <w:t>, 24%</w:t>
      </w:r>
    </w:p>
    <w:p w:rsidR="006C6174" w:rsidRPr="00810DC1" w:rsidRDefault="006C6174" w:rsidP="00810DC1">
      <w:pPr>
        <w:pStyle w:val="ListParagraph"/>
        <w:numPr>
          <w:ilvl w:val="0"/>
          <w:numId w:val="1"/>
        </w:numPr>
      </w:pPr>
      <w:r w:rsidRPr="00810DC1">
        <w:t>Trips and Treats, 20%</w:t>
      </w:r>
    </w:p>
    <w:p w:rsidR="006C6174" w:rsidRPr="00810DC1" w:rsidRDefault="006C6174" w:rsidP="00810DC1">
      <w:pPr>
        <w:pStyle w:val="ListParagraph"/>
        <w:numPr>
          <w:ilvl w:val="0"/>
          <w:numId w:val="1"/>
        </w:numPr>
      </w:pPr>
      <w:proofErr w:type="spellStart"/>
      <w:r w:rsidRPr="00810DC1">
        <w:t>Commuterland</w:t>
      </w:r>
      <w:proofErr w:type="spellEnd"/>
      <w:r w:rsidRPr="00810DC1">
        <w:t xml:space="preserve"> </w:t>
      </w:r>
      <w:proofErr w:type="spellStart"/>
      <w:r w:rsidRPr="00810DC1">
        <w:t>Culturebuffs</w:t>
      </w:r>
      <w:proofErr w:type="spellEnd"/>
      <w:r w:rsidRPr="00810DC1">
        <w:t>, 14%</w:t>
      </w:r>
    </w:p>
    <w:p w:rsidR="006C6174" w:rsidRDefault="006C6174" w:rsidP="007857EB">
      <w:r>
        <w:t xml:space="preserve">The top 10 audience attendance postcodes are identifiable as the </w:t>
      </w:r>
      <w:r w:rsidR="00C74D22">
        <w:t xml:space="preserve">more affluent areas of the city (Trips and Treats), including around the university, and as the surrounding villages in the East Riding (Dormitory </w:t>
      </w:r>
      <w:proofErr w:type="spellStart"/>
      <w:r w:rsidR="00C74D22">
        <w:t>Dependables</w:t>
      </w:r>
      <w:proofErr w:type="spellEnd"/>
      <w:r w:rsidR="00C74D22">
        <w:t xml:space="preserve"> &amp; </w:t>
      </w:r>
      <w:proofErr w:type="spellStart"/>
      <w:r w:rsidR="00C74D22">
        <w:t>Commuterland</w:t>
      </w:r>
      <w:proofErr w:type="spellEnd"/>
      <w:r w:rsidR="00C74D22">
        <w:t xml:space="preserve"> </w:t>
      </w:r>
      <w:proofErr w:type="spellStart"/>
      <w:r w:rsidR="00C74D22">
        <w:t>Culturebuffs</w:t>
      </w:r>
      <w:proofErr w:type="spellEnd"/>
      <w:r w:rsidR="00C74D22">
        <w:t xml:space="preserve">). </w:t>
      </w:r>
    </w:p>
    <w:p w:rsidR="00EC3137" w:rsidRDefault="00EC3137" w:rsidP="007857EB">
      <w:r>
        <w:t xml:space="preserve">We know that 63% of all audiences only attend once a year**. </w:t>
      </w:r>
    </w:p>
    <w:p w:rsidR="006C6174" w:rsidRPr="00810DC1" w:rsidRDefault="00810DC1" w:rsidP="007857EB">
      <w:pPr>
        <w:rPr>
          <w:b/>
        </w:rPr>
      </w:pPr>
      <w:r w:rsidRPr="00810DC1">
        <w:rPr>
          <w:b/>
        </w:rPr>
        <w:t>Programme strands:</w:t>
      </w:r>
    </w:p>
    <w:p w:rsidR="00B2411B" w:rsidRDefault="00810DC1" w:rsidP="00B2411B">
      <w:pPr>
        <w:pStyle w:val="ListParagraph"/>
        <w:numPr>
          <w:ilvl w:val="0"/>
          <w:numId w:val="4"/>
        </w:numPr>
      </w:pPr>
      <w:r>
        <w:t>Mod</w:t>
      </w:r>
      <w:r w:rsidR="00B2411B">
        <w:t xml:space="preserve">ern interpretations of classics (e.g. </w:t>
      </w:r>
      <w:r w:rsidR="00B2411B" w:rsidRPr="00B2411B">
        <w:rPr>
          <w:i/>
        </w:rPr>
        <w:t>Richard III</w:t>
      </w:r>
      <w:r w:rsidR="00B2411B">
        <w:t>)</w:t>
      </w:r>
      <w:r>
        <w:t xml:space="preserve"> </w:t>
      </w:r>
    </w:p>
    <w:p w:rsidR="00B2411B" w:rsidRDefault="00C84632" w:rsidP="00B2411B">
      <w:pPr>
        <w:pStyle w:val="ListParagraph"/>
        <w:numPr>
          <w:ilvl w:val="0"/>
          <w:numId w:val="4"/>
        </w:numPr>
      </w:pPr>
      <w:r>
        <w:t>P</w:t>
      </w:r>
      <w:r w:rsidR="00810DC1">
        <w:t>lays with local resonance</w:t>
      </w:r>
      <w:r w:rsidR="00B2411B">
        <w:t xml:space="preserve"> (e.g. </w:t>
      </w:r>
      <w:r w:rsidR="00B2411B" w:rsidRPr="00B2411B">
        <w:rPr>
          <w:i/>
        </w:rPr>
        <w:t>Mighty Atoms</w:t>
      </w:r>
      <w:r w:rsidR="00B2411B">
        <w:t>)</w:t>
      </w:r>
    </w:p>
    <w:p w:rsidR="00B2411B" w:rsidRDefault="00B2411B" w:rsidP="00B2411B">
      <w:pPr>
        <w:pStyle w:val="ListParagraph"/>
        <w:numPr>
          <w:ilvl w:val="0"/>
          <w:numId w:val="4"/>
        </w:numPr>
      </w:pPr>
      <w:r>
        <w:t>C</w:t>
      </w:r>
      <w:r w:rsidR="00810DC1">
        <w:t>om</w:t>
      </w:r>
      <w:r>
        <w:t>edy</w:t>
      </w:r>
      <w:r w:rsidR="00810DC1">
        <w:t xml:space="preserve"> </w:t>
      </w:r>
    </w:p>
    <w:p w:rsidR="00810DC1" w:rsidRDefault="00B2411B" w:rsidP="00B2411B">
      <w:pPr>
        <w:pStyle w:val="ListParagraph"/>
        <w:numPr>
          <w:ilvl w:val="0"/>
          <w:numId w:val="4"/>
        </w:numPr>
      </w:pPr>
      <w:r>
        <w:t>Live streamed films</w:t>
      </w:r>
    </w:p>
    <w:p w:rsidR="00810DC1" w:rsidRPr="00810DC1" w:rsidRDefault="00810DC1" w:rsidP="007857EB">
      <w:pPr>
        <w:rPr>
          <w:b/>
        </w:rPr>
      </w:pPr>
      <w:r w:rsidRPr="00810DC1">
        <w:rPr>
          <w:b/>
        </w:rPr>
        <w:t>Messaging:</w:t>
      </w:r>
    </w:p>
    <w:p w:rsidR="00810DC1" w:rsidRDefault="00810DC1" w:rsidP="00810DC1">
      <w:pPr>
        <w:pStyle w:val="ListParagraph"/>
        <w:numPr>
          <w:ilvl w:val="0"/>
          <w:numId w:val="2"/>
        </w:numPr>
      </w:pPr>
      <w:r>
        <w:t xml:space="preserve">Drama Deal offering multi-buy discounts </w:t>
      </w:r>
    </w:p>
    <w:p w:rsidR="00810DC1" w:rsidRDefault="00810DC1" w:rsidP="00810DC1">
      <w:pPr>
        <w:pStyle w:val="ListParagraph"/>
        <w:numPr>
          <w:ilvl w:val="0"/>
          <w:numId w:val="2"/>
        </w:numPr>
      </w:pPr>
      <w:r>
        <w:t>Drama Deal Plus offering priority booking</w:t>
      </w:r>
    </w:p>
    <w:p w:rsidR="007F427C" w:rsidRDefault="007F427C" w:rsidP="00810DC1">
      <w:pPr>
        <w:pStyle w:val="ListParagraph"/>
        <w:numPr>
          <w:ilvl w:val="0"/>
          <w:numId w:val="2"/>
        </w:numPr>
      </w:pPr>
      <w:r>
        <w:t xml:space="preserve">Dinner &amp; a Show deals </w:t>
      </w:r>
    </w:p>
    <w:p w:rsidR="00810DC1" w:rsidRDefault="00810DC1" w:rsidP="00810DC1">
      <w:pPr>
        <w:pStyle w:val="ListParagraph"/>
        <w:numPr>
          <w:ilvl w:val="0"/>
          <w:numId w:val="2"/>
        </w:numPr>
      </w:pPr>
      <w:r>
        <w:t>Targeted marketing with suggestions based on booking history</w:t>
      </w:r>
    </w:p>
    <w:p w:rsidR="00B2411B" w:rsidRDefault="00B2411B" w:rsidP="00B2411B">
      <w:pPr>
        <w:pStyle w:val="ListParagraph"/>
        <w:numPr>
          <w:ilvl w:val="0"/>
          <w:numId w:val="2"/>
        </w:numPr>
      </w:pPr>
      <w:r>
        <w:t>Positive profile of the theatre and brand, including media coverage and Year of Exceptional Drama for Hull2017 and beyond</w:t>
      </w:r>
    </w:p>
    <w:p w:rsidR="007857EB" w:rsidRDefault="007857EB" w:rsidP="007857EB"/>
    <w:p w:rsidR="00895941" w:rsidRDefault="00895941" w:rsidP="007857EB"/>
    <w:p w:rsidR="007857EB" w:rsidRPr="00AB255E" w:rsidRDefault="007857EB" w:rsidP="007857EB">
      <w:pPr>
        <w:rPr>
          <w:i/>
          <w:u w:val="single"/>
        </w:rPr>
      </w:pPr>
      <w:r w:rsidRPr="00AB255E">
        <w:rPr>
          <w:i/>
          <w:u w:val="single"/>
        </w:rPr>
        <w:lastRenderedPageBreak/>
        <w:t xml:space="preserve">Culturally engaged audiences from beyond a </w:t>
      </w:r>
      <w:proofErr w:type="gramStart"/>
      <w:r w:rsidRPr="00AB255E">
        <w:rPr>
          <w:i/>
          <w:u w:val="single"/>
        </w:rPr>
        <w:t>30 minute</w:t>
      </w:r>
      <w:proofErr w:type="gramEnd"/>
      <w:r w:rsidRPr="00AB255E">
        <w:rPr>
          <w:i/>
          <w:u w:val="single"/>
        </w:rPr>
        <w:t xml:space="preserve"> drive time</w:t>
      </w:r>
    </w:p>
    <w:p w:rsidR="00E25456" w:rsidRPr="00E25456" w:rsidRDefault="00E25456" w:rsidP="0090188F">
      <w:pPr>
        <w:rPr>
          <w:b/>
        </w:rPr>
      </w:pPr>
      <w:r w:rsidRPr="00810DC1">
        <w:rPr>
          <w:b/>
        </w:rPr>
        <w:t>Target audiences:</w:t>
      </w:r>
    </w:p>
    <w:p w:rsidR="005C5746" w:rsidRDefault="00EC3137" w:rsidP="0090188F">
      <w:r>
        <w:t xml:space="preserve">The theatre currently reaches just 4% of the </w:t>
      </w:r>
      <w:proofErr w:type="spellStart"/>
      <w:r>
        <w:t>Commuterland</w:t>
      </w:r>
      <w:proofErr w:type="spellEnd"/>
      <w:r>
        <w:t xml:space="preserve"> </w:t>
      </w:r>
      <w:proofErr w:type="spellStart"/>
      <w:r>
        <w:t>Culturebuffs</w:t>
      </w:r>
      <w:proofErr w:type="spellEnd"/>
      <w:r>
        <w:t xml:space="preserve"> population of Hull and East Riding of Yorkshire*</w:t>
      </w:r>
      <w:r w:rsidR="00B2411B">
        <w:t xml:space="preserve"> and 81% of bookers came from HU postcodes in 2015/16</w:t>
      </w:r>
      <w:r w:rsidR="00461190">
        <w:t>~</w:t>
      </w:r>
      <w:r w:rsidR="00B2411B">
        <w:t xml:space="preserve">. </w:t>
      </w:r>
      <w:r>
        <w:t xml:space="preserve">There is potential to reach new audiences with the East Riding of Yorkshire and </w:t>
      </w:r>
      <w:r w:rsidR="00B2411B">
        <w:t xml:space="preserve">from </w:t>
      </w:r>
      <w:r>
        <w:t>cities with high levels of culturally engaged audiences within an hour’s drive time, including York, Leeds and Sheffield.</w:t>
      </w:r>
    </w:p>
    <w:p w:rsidR="00B2411B" w:rsidRPr="00810DC1" w:rsidRDefault="00B2411B" w:rsidP="00B2411B">
      <w:pPr>
        <w:rPr>
          <w:b/>
        </w:rPr>
      </w:pPr>
      <w:r w:rsidRPr="00810DC1">
        <w:rPr>
          <w:b/>
        </w:rPr>
        <w:t>Programme strands:</w:t>
      </w:r>
    </w:p>
    <w:p w:rsidR="00B2411B" w:rsidRDefault="00B2411B" w:rsidP="00B2411B">
      <w:pPr>
        <w:pStyle w:val="ListParagraph"/>
        <w:numPr>
          <w:ilvl w:val="0"/>
          <w:numId w:val="5"/>
        </w:numPr>
      </w:pPr>
      <w:r>
        <w:t>New plays with national</w:t>
      </w:r>
      <w:r w:rsidR="00317040">
        <w:t xml:space="preserve"> and international</w:t>
      </w:r>
      <w:r>
        <w:t xml:space="preserve"> resonance (e.g. </w:t>
      </w:r>
      <w:r w:rsidRPr="00B2411B">
        <w:rPr>
          <w:i/>
        </w:rPr>
        <w:t>A Short History of Tractors in Ukrainian</w:t>
      </w:r>
      <w:r>
        <w:t xml:space="preserve">) </w:t>
      </w:r>
    </w:p>
    <w:p w:rsidR="00B2411B" w:rsidRDefault="00B2411B" w:rsidP="00B2411B">
      <w:pPr>
        <w:pStyle w:val="ListParagraph"/>
        <w:numPr>
          <w:ilvl w:val="0"/>
          <w:numId w:val="5"/>
        </w:numPr>
      </w:pPr>
      <w:r>
        <w:t xml:space="preserve">Work with high profile cast or creative team members (e.g. </w:t>
      </w:r>
      <w:r>
        <w:rPr>
          <w:i/>
        </w:rPr>
        <w:t>James Graham</w:t>
      </w:r>
      <w:r>
        <w:t>)</w:t>
      </w:r>
    </w:p>
    <w:p w:rsidR="00B2411B" w:rsidRPr="00B2411B" w:rsidRDefault="00B2411B" w:rsidP="00B2411B">
      <w:pPr>
        <w:rPr>
          <w:b/>
        </w:rPr>
      </w:pPr>
      <w:r w:rsidRPr="00B2411B">
        <w:rPr>
          <w:b/>
        </w:rPr>
        <w:t>Messaging:</w:t>
      </w:r>
    </w:p>
    <w:p w:rsidR="00B2411B" w:rsidRDefault="00B2411B" w:rsidP="00B2411B">
      <w:pPr>
        <w:pStyle w:val="ListParagraph"/>
        <w:numPr>
          <w:ilvl w:val="0"/>
          <w:numId w:val="6"/>
        </w:numPr>
      </w:pPr>
      <w:r>
        <w:t>Positive profile of the theatre and brand, including media coverage and Year of Exceptional Drama for Hull2017 and beyond</w:t>
      </w:r>
    </w:p>
    <w:p w:rsidR="00B2411B" w:rsidRDefault="00B2411B" w:rsidP="00B2411B">
      <w:pPr>
        <w:pStyle w:val="ListParagraph"/>
        <w:numPr>
          <w:ilvl w:val="0"/>
          <w:numId w:val="6"/>
        </w:numPr>
      </w:pPr>
      <w:r>
        <w:t>Targeted digital advertising using geotargeting and profiling</w:t>
      </w:r>
    </w:p>
    <w:p w:rsidR="00B2411B" w:rsidRDefault="00B2411B" w:rsidP="00B2411B">
      <w:pPr>
        <w:pStyle w:val="ListParagraph"/>
        <w:numPr>
          <w:ilvl w:val="0"/>
          <w:numId w:val="6"/>
        </w:numPr>
      </w:pPr>
      <w:r>
        <w:t>Outdoor advertising on transport routes</w:t>
      </w:r>
    </w:p>
    <w:p w:rsidR="007857EB" w:rsidRDefault="007857EB" w:rsidP="007857EB"/>
    <w:p w:rsidR="007857EB" w:rsidRPr="00AB255E" w:rsidRDefault="00EC3137" w:rsidP="007857EB">
      <w:pPr>
        <w:rPr>
          <w:i/>
          <w:u w:val="single"/>
        </w:rPr>
      </w:pPr>
      <w:r>
        <w:rPr>
          <w:i/>
          <w:u w:val="single"/>
        </w:rPr>
        <w:t>Local audiences from areas of</w:t>
      </w:r>
      <w:r w:rsidR="0090188F" w:rsidRPr="00AB255E">
        <w:rPr>
          <w:i/>
          <w:u w:val="single"/>
        </w:rPr>
        <w:t xml:space="preserve"> low arts engagement</w:t>
      </w:r>
    </w:p>
    <w:p w:rsidR="00E25456" w:rsidRPr="00810DC1" w:rsidRDefault="00E25456" w:rsidP="00E25456">
      <w:pPr>
        <w:rPr>
          <w:b/>
        </w:rPr>
      </w:pPr>
      <w:r w:rsidRPr="00810DC1">
        <w:rPr>
          <w:b/>
        </w:rPr>
        <w:t>Target audiences:</w:t>
      </w:r>
    </w:p>
    <w:p w:rsidR="00C84632" w:rsidRPr="00C84632" w:rsidRDefault="00C84632" w:rsidP="00E25456">
      <w:pPr>
        <w:rPr>
          <w:rFonts w:cstheme="minorHAnsi"/>
        </w:rPr>
      </w:pPr>
      <w:r w:rsidRPr="00C84632">
        <w:rPr>
          <w:rFonts w:cstheme="minorHAnsi"/>
        </w:rPr>
        <w:t xml:space="preserve">Hull is the third most deprived local authority in the UK, with low levels of engagement with the arts. Facebook Families </w:t>
      </w:r>
      <w:proofErr w:type="gramStart"/>
      <w:r>
        <w:rPr>
          <w:rFonts w:cstheme="minorHAnsi"/>
        </w:rPr>
        <w:t xml:space="preserve">in particular </w:t>
      </w:r>
      <w:r w:rsidRPr="00C84632">
        <w:rPr>
          <w:rFonts w:cstheme="minorHAnsi"/>
        </w:rPr>
        <w:t>are</w:t>
      </w:r>
      <w:proofErr w:type="gramEnd"/>
      <w:r w:rsidRPr="00C84632">
        <w:rPr>
          <w:rFonts w:cstheme="minorHAnsi"/>
        </w:rPr>
        <w:t xml:space="preserve"> significantly over-represented Audience Spectrum segments compared to national data</w:t>
      </w:r>
      <w:r>
        <w:rPr>
          <w:rFonts w:cstheme="minorHAnsi"/>
        </w:rPr>
        <w:t>^</w:t>
      </w:r>
      <w:r w:rsidRPr="00C84632">
        <w:rPr>
          <w:rFonts w:cstheme="minorHAnsi"/>
        </w:rPr>
        <w:t xml:space="preserve">. Facebook Families make up 20% of adults living in HU postcodes (compared to 12% in Yorkshire &amp; The </w:t>
      </w:r>
      <w:proofErr w:type="gramStart"/>
      <w:r w:rsidRPr="00C84632">
        <w:rPr>
          <w:rFonts w:cstheme="minorHAnsi"/>
        </w:rPr>
        <w:t>Humber)</w:t>
      </w:r>
      <w:r>
        <w:rPr>
          <w:rFonts w:cstheme="minorHAnsi"/>
        </w:rPr>
        <w:t>*</w:t>
      </w:r>
      <w:proofErr w:type="gramEnd"/>
      <w:r w:rsidRPr="00C84632">
        <w:rPr>
          <w:rFonts w:cstheme="minorHAnsi"/>
        </w:rPr>
        <w:t xml:space="preserve">. </w:t>
      </w:r>
    </w:p>
    <w:p w:rsidR="00E25456" w:rsidRPr="00810DC1" w:rsidRDefault="00E25456" w:rsidP="00E25456">
      <w:pPr>
        <w:rPr>
          <w:b/>
        </w:rPr>
      </w:pPr>
      <w:r w:rsidRPr="00810DC1">
        <w:rPr>
          <w:b/>
        </w:rPr>
        <w:t>Programme strands:</w:t>
      </w:r>
    </w:p>
    <w:p w:rsidR="00C84632" w:rsidRDefault="00C84632" w:rsidP="00C84632">
      <w:pPr>
        <w:pStyle w:val="ListParagraph"/>
        <w:numPr>
          <w:ilvl w:val="0"/>
          <w:numId w:val="7"/>
        </w:numPr>
      </w:pPr>
      <w:r>
        <w:t xml:space="preserve">Plays with local resonance (e.g. </w:t>
      </w:r>
      <w:r w:rsidRPr="00C84632">
        <w:rPr>
          <w:i/>
        </w:rPr>
        <w:t>Mighty Atoms</w:t>
      </w:r>
      <w:r>
        <w:t>)</w:t>
      </w:r>
    </w:p>
    <w:p w:rsidR="00C84632" w:rsidRDefault="00C84632" w:rsidP="00C84632">
      <w:pPr>
        <w:pStyle w:val="ListParagraph"/>
        <w:numPr>
          <w:ilvl w:val="0"/>
          <w:numId w:val="7"/>
        </w:numPr>
      </w:pPr>
      <w:r>
        <w:t xml:space="preserve">Family Christmas (e.g. </w:t>
      </w:r>
      <w:r w:rsidRPr="00C84632">
        <w:rPr>
          <w:i/>
        </w:rPr>
        <w:t>A Christmas Carol</w:t>
      </w:r>
      <w:r>
        <w:t>)</w:t>
      </w:r>
    </w:p>
    <w:p w:rsidR="00E25456" w:rsidRPr="00810DC1" w:rsidRDefault="00E25456" w:rsidP="00E25456">
      <w:pPr>
        <w:rPr>
          <w:b/>
        </w:rPr>
      </w:pPr>
      <w:r w:rsidRPr="00810DC1">
        <w:rPr>
          <w:b/>
        </w:rPr>
        <w:t>Messaging:</w:t>
      </w:r>
    </w:p>
    <w:p w:rsidR="007F427C" w:rsidRDefault="007F427C" w:rsidP="00317040">
      <w:pPr>
        <w:pStyle w:val="ListParagraph"/>
        <w:numPr>
          <w:ilvl w:val="0"/>
          <w:numId w:val="8"/>
        </w:numPr>
      </w:pPr>
      <w:r>
        <w:t>Accessible ticketing via Pay What You Can nights, £5/£2 tickets for patrons receiving unemployment benefits</w:t>
      </w:r>
      <w:r w:rsidR="00317040">
        <w:t>, family ticket discounts</w:t>
      </w:r>
    </w:p>
    <w:p w:rsidR="00317040" w:rsidRDefault="00317040" w:rsidP="00317040">
      <w:pPr>
        <w:pStyle w:val="ListParagraph"/>
        <w:numPr>
          <w:ilvl w:val="0"/>
          <w:numId w:val="8"/>
        </w:numPr>
      </w:pPr>
      <w:r>
        <w:t>Working with partners including community organisations, charities and schools</w:t>
      </w:r>
    </w:p>
    <w:p w:rsidR="00317040" w:rsidRDefault="00317040" w:rsidP="00317040">
      <w:pPr>
        <w:pStyle w:val="ListParagraph"/>
        <w:numPr>
          <w:ilvl w:val="0"/>
          <w:numId w:val="8"/>
        </w:numPr>
      </w:pPr>
      <w:r>
        <w:t>Facebook advertising and word of mouth</w:t>
      </w:r>
    </w:p>
    <w:p w:rsidR="00B52ECA" w:rsidRDefault="00B52ECA" w:rsidP="00317040">
      <w:pPr>
        <w:pStyle w:val="ListParagraph"/>
        <w:numPr>
          <w:ilvl w:val="0"/>
          <w:numId w:val="8"/>
        </w:numPr>
      </w:pPr>
      <w:r>
        <w:t>Community Dialogues – our Paul Hamlyn Foundation-funded project researching barriers to attendance in two areas of low arts engagement in Hull</w:t>
      </w:r>
    </w:p>
    <w:p w:rsidR="00C84632" w:rsidRDefault="00C84632" w:rsidP="007857EB"/>
    <w:p w:rsidR="005E297B" w:rsidRDefault="005E297B" w:rsidP="007857EB">
      <w:bookmarkStart w:id="1" w:name="_GoBack"/>
      <w:bookmarkEnd w:id="1"/>
    </w:p>
    <w:p w:rsidR="005E297B" w:rsidRDefault="005E297B" w:rsidP="007857EB"/>
    <w:p w:rsidR="00EC3137" w:rsidRPr="005E297B" w:rsidRDefault="00EC3137" w:rsidP="005E297B">
      <w:pPr>
        <w:spacing w:after="0"/>
        <w:rPr>
          <w:sz w:val="20"/>
          <w:szCs w:val="20"/>
        </w:rPr>
      </w:pPr>
      <w:r w:rsidRPr="005E297B">
        <w:rPr>
          <w:sz w:val="20"/>
          <w:szCs w:val="20"/>
        </w:rPr>
        <w:t>*Audience Finder Audience Report 2015/16</w:t>
      </w:r>
    </w:p>
    <w:p w:rsidR="00EC3137" w:rsidRPr="005E297B" w:rsidRDefault="00EC3137" w:rsidP="005E297B">
      <w:pPr>
        <w:spacing w:after="0"/>
        <w:rPr>
          <w:sz w:val="20"/>
          <w:szCs w:val="20"/>
        </w:rPr>
      </w:pPr>
      <w:r w:rsidRPr="005E297B">
        <w:rPr>
          <w:sz w:val="20"/>
          <w:szCs w:val="20"/>
        </w:rPr>
        <w:t>**Baker Richard Customer Analysis Report 2015</w:t>
      </w:r>
    </w:p>
    <w:p w:rsidR="0037620C" w:rsidRPr="005E297B" w:rsidRDefault="00461190" w:rsidP="005E297B">
      <w:pPr>
        <w:spacing w:after="0"/>
        <w:rPr>
          <w:sz w:val="20"/>
          <w:szCs w:val="20"/>
        </w:rPr>
      </w:pPr>
      <w:r w:rsidRPr="005E297B">
        <w:rPr>
          <w:sz w:val="20"/>
          <w:szCs w:val="20"/>
        </w:rPr>
        <w:t>~</w:t>
      </w:r>
      <w:r w:rsidR="00EC3137" w:rsidRPr="005E297B">
        <w:rPr>
          <w:sz w:val="20"/>
          <w:szCs w:val="20"/>
        </w:rPr>
        <w:t xml:space="preserve">House Lights </w:t>
      </w:r>
      <w:r w:rsidR="0037620C" w:rsidRPr="005E297B">
        <w:rPr>
          <w:sz w:val="20"/>
          <w:szCs w:val="20"/>
        </w:rPr>
        <w:t>Report (&amp;Co. marketing) 201</w:t>
      </w:r>
      <w:r w:rsidR="00B2411B" w:rsidRPr="005E297B">
        <w:rPr>
          <w:sz w:val="20"/>
          <w:szCs w:val="20"/>
        </w:rPr>
        <w:t>5/1</w:t>
      </w:r>
      <w:r w:rsidR="0037620C" w:rsidRPr="005E297B">
        <w:rPr>
          <w:sz w:val="20"/>
          <w:szCs w:val="20"/>
        </w:rPr>
        <w:t>6</w:t>
      </w:r>
    </w:p>
    <w:p w:rsidR="00C84632" w:rsidRPr="005E297B" w:rsidRDefault="00C84632" w:rsidP="005E297B">
      <w:pPr>
        <w:spacing w:after="0"/>
        <w:rPr>
          <w:sz w:val="20"/>
          <w:szCs w:val="20"/>
        </w:rPr>
      </w:pPr>
      <w:r w:rsidRPr="005E297B">
        <w:rPr>
          <w:sz w:val="20"/>
          <w:szCs w:val="20"/>
        </w:rPr>
        <w:t>^The Audience Agency Area Profile Report 2015/16</w:t>
      </w:r>
    </w:p>
    <w:p w:rsidR="00EC3137" w:rsidRDefault="00EC3137" w:rsidP="007857EB"/>
    <w:sectPr w:rsidR="00EC3137" w:rsidSect="005F518B">
      <w:footerReference w:type="default" r:id="rId8"/>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88F" w:rsidRDefault="0090188F" w:rsidP="0090188F">
      <w:pPr>
        <w:spacing w:after="0" w:line="240" w:lineRule="auto"/>
      </w:pPr>
      <w:r>
        <w:separator/>
      </w:r>
    </w:p>
  </w:endnote>
  <w:endnote w:type="continuationSeparator" w:id="0">
    <w:p w:rsidR="0090188F" w:rsidRDefault="0090188F" w:rsidP="00901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511946"/>
      <w:docPartObj>
        <w:docPartGallery w:val="Page Numbers (Bottom of Page)"/>
        <w:docPartUnique/>
      </w:docPartObj>
    </w:sdtPr>
    <w:sdtEndPr>
      <w:rPr>
        <w:noProof/>
      </w:rPr>
    </w:sdtEndPr>
    <w:sdtContent>
      <w:p w:rsidR="004163B6" w:rsidRDefault="004163B6">
        <w:pPr>
          <w:pStyle w:val="Footer"/>
          <w:jc w:val="right"/>
        </w:pPr>
        <w:r>
          <w:fldChar w:fldCharType="begin"/>
        </w:r>
        <w:r>
          <w:instrText xml:space="preserve"> PAGE   \* MERGEFORMAT </w:instrText>
        </w:r>
        <w:r>
          <w:fldChar w:fldCharType="separate"/>
        </w:r>
        <w:r w:rsidR="00895941">
          <w:rPr>
            <w:noProof/>
          </w:rPr>
          <w:t>3</w:t>
        </w:r>
        <w:r>
          <w:rPr>
            <w:noProof/>
          </w:rPr>
          <w:fldChar w:fldCharType="end"/>
        </w:r>
      </w:p>
    </w:sdtContent>
  </w:sdt>
  <w:p w:rsidR="0090188F" w:rsidRDefault="00901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88F" w:rsidRDefault="0090188F" w:rsidP="0090188F">
      <w:pPr>
        <w:spacing w:after="0" w:line="240" w:lineRule="auto"/>
      </w:pPr>
      <w:r>
        <w:separator/>
      </w:r>
    </w:p>
  </w:footnote>
  <w:footnote w:type="continuationSeparator" w:id="0">
    <w:p w:rsidR="0090188F" w:rsidRDefault="0090188F" w:rsidP="00901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D53D4"/>
    <w:multiLevelType w:val="hybridMultilevel"/>
    <w:tmpl w:val="7640E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7420E"/>
    <w:multiLevelType w:val="hybridMultilevel"/>
    <w:tmpl w:val="AC8CF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C002B7"/>
    <w:multiLevelType w:val="hybridMultilevel"/>
    <w:tmpl w:val="A22E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FE4C6E"/>
    <w:multiLevelType w:val="hybridMultilevel"/>
    <w:tmpl w:val="96C6C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1130D2"/>
    <w:multiLevelType w:val="hybridMultilevel"/>
    <w:tmpl w:val="625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E511C2"/>
    <w:multiLevelType w:val="hybridMultilevel"/>
    <w:tmpl w:val="CC48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BC968C8"/>
    <w:multiLevelType w:val="hybridMultilevel"/>
    <w:tmpl w:val="39806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A79DC"/>
    <w:multiLevelType w:val="hybridMultilevel"/>
    <w:tmpl w:val="9DCE9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7"/>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8B"/>
    <w:rsid w:val="00025F30"/>
    <w:rsid w:val="00083F00"/>
    <w:rsid w:val="001062DB"/>
    <w:rsid w:val="001320EE"/>
    <w:rsid w:val="002A5D57"/>
    <w:rsid w:val="00317040"/>
    <w:rsid w:val="0037620C"/>
    <w:rsid w:val="004163B6"/>
    <w:rsid w:val="00461190"/>
    <w:rsid w:val="00514471"/>
    <w:rsid w:val="005B15DD"/>
    <w:rsid w:val="005B1DBA"/>
    <w:rsid w:val="005C5746"/>
    <w:rsid w:val="005E297B"/>
    <w:rsid w:val="005F518B"/>
    <w:rsid w:val="00697B9B"/>
    <w:rsid w:val="006C6174"/>
    <w:rsid w:val="00706627"/>
    <w:rsid w:val="007857EB"/>
    <w:rsid w:val="007D020D"/>
    <w:rsid w:val="007F427C"/>
    <w:rsid w:val="00810DC1"/>
    <w:rsid w:val="0081605B"/>
    <w:rsid w:val="0085408A"/>
    <w:rsid w:val="00895941"/>
    <w:rsid w:val="008A70A2"/>
    <w:rsid w:val="008E4872"/>
    <w:rsid w:val="0090188F"/>
    <w:rsid w:val="009C58FE"/>
    <w:rsid w:val="00AB255E"/>
    <w:rsid w:val="00B2411B"/>
    <w:rsid w:val="00B52ECA"/>
    <w:rsid w:val="00B53F0C"/>
    <w:rsid w:val="00C56B09"/>
    <w:rsid w:val="00C65B99"/>
    <w:rsid w:val="00C74D22"/>
    <w:rsid w:val="00C84632"/>
    <w:rsid w:val="00D67F42"/>
    <w:rsid w:val="00DD3B65"/>
    <w:rsid w:val="00E25456"/>
    <w:rsid w:val="00E356A6"/>
    <w:rsid w:val="00EC3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F406"/>
  <w15:chartTrackingRefBased/>
  <w15:docId w15:val="{E088917C-4320-439A-888B-03101F78A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18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188F"/>
  </w:style>
  <w:style w:type="paragraph" w:styleId="Footer">
    <w:name w:val="footer"/>
    <w:basedOn w:val="Normal"/>
    <w:link w:val="FooterChar"/>
    <w:uiPriority w:val="99"/>
    <w:unhideWhenUsed/>
    <w:rsid w:val="009018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188F"/>
  </w:style>
  <w:style w:type="table" w:styleId="TableGrid">
    <w:name w:val="Table Grid"/>
    <w:basedOn w:val="TableNormal"/>
    <w:uiPriority w:val="39"/>
    <w:rsid w:val="00C56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3</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Puckering</dc:creator>
  <cp:keywords/>
  <dc:description/>
  <cp:lastModifiedBy>Ruth Puckering</cp:lastModifiedBy>
  <cp:revision>16</cp:revision>
  <dcterms:created xsi:type="dcterms:W3CDTF">2017-03-22T14:05:00Z</dcterms:created>
  <dcterms:modified xsi:type="dcterms:W3CDTF">2017-03-27T16:10:00Z</dcterms:modified>
</cp:coreProperties>
</file>